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9639"/>
      </w:tblGrid>
      <w:tr w:rsidR="0077112D" w14:paraId="354A4A41" w14:textId="77777777" w:rsidTr="0077112D">
        <w:trPr>
          <w:cantSplit/>
        </w:trPr>
        <w:tc>
          <w:tcPr>
            <w:tcW w:w="9639" w:type="dxa"/>
            <w:shd w:val="clear" w:color="auto" w:fill="auto"/>
          </w:tcPr>
          <w:p w14:paraId="189C0A78" w14:textId="77777777" w:rsidR="0077112D" w:rsidRPr="00702088" w:rsidRDefault="0077112D" w:rsidP="0077112D">
            <w:pPr>
              <w:pStyle w:val="Title"/>
              <w:rPr>
                <w:lang w:val="en-NZ"/>
              </w:rPr>
            </w:pPr>
            <w:bookmarkStart w:id="0" w:name="_Hlk36565914"/>
            <w:r w:rsidRPr="00702088">
              <w:rPr>
                <w:lang w:val="en-NZ"/>
              </w:rPr>
              <w:t>Guideline on the Regulation of Medicinal Cannabis in New Zealand</w:t>
            </w:r>
          </w:p>
        </w:tc>
      </w:tr>
      <w:tr w:rsidR="0077112D" w14:paraId="2E6ED9F5" w14:textId="77777777" w:rsidTr="0077112D">
        <w:trPr>
          <w:cantSplit/>
        </w:trPr>
        <w:tc>
          <w:tcPr>
            <w:tcW w:w="9639" w:type="dxa"/>
            <w:shd w:val="clear" w:color="auto" w:fill="076283"/>
          </w:tcPr>
          <w:p w14:paraId="7E0F5CFA" w14:textId="77777777" w:rsidR="0077112D" w:rsidRPr="00702088" w:rsidRDefault="0077112D" w:rsidP="00F7308E">
            <w:pPr>
              <w:pStyle w:val="Subhead"/>
              <w:rPr>
                <w:lang w:val="en-NZ"/>
              </w:rPr>
            </w:pPr>
            <w:r w:rsidRPr="00702088">
              <w:rPr>
                <w:rFonts w:ascii="Avenir Black" w:hAnsi="Avenir Black"/>
                <w:b/>
                <w:lang w:val="en-NZ"/>
              </w:rPr>
              <w:t xml:space="preserve">PART </w:t>
            </w:r>
            <w:r w:rsidR="00F7308E">
              <w:rPr>
                <w:rFonts w:ascii="Avenir Black" w:hAnsi="Avenir Black"/>
                <w:b/>
                <w:lang w:val="en-NZ"/>
              </w:rPr>
              <w:t>2</w:t>
            </w:r>
            <w:r w:rsidRPr="00702088">
              <w:rPr>
                <w:rFonts w:ascii="Avenir Black" w:hAnsi="Avenir Black"/>
                <w:b/>
                <w:lang w:val="en-NZ"/>
              </w:rPr>
              <w:br/>
            </w:r>
            <w:r w:rsidR="00F7308E">
              <w:rPr>
                <w:lang w:val="en-NZ"/>
              </w:rPr>
              <w:t>Information for New Zealand Manufacturers and Packers</w:t>
            </w:r>
          </w:p>
        </w:tc>
      </w:tr>
      <w:bookmarkEnd w:id="0"/>
    </w:tbl>
    <w:p w14:paraId="6DAC5EA6" w14:textId="77777777" w:rsidR="00C05132" w:rsidRPr="00141538" w:rsidRDefault="00C05132" w:rsidP="00FB554D"/>
    <w:p w14:paraId="08B7ED8F" w14:textId="77777777" w:rsidR="00142954" w:rsidRPr="00142954" w:rsidRDefault="00142954" w:rsidP="00142954">
      <w:pPr>
        <w:sectPr w:rsidR="00142954" w:rsidRPr="00142954" w:rsidSect="007953D4">
          <w:headerReference w:type="default" r:id="rId8"/>
          <w:footerReference w:type="default" r:id="rId9"/>
          <w:pgSz w:w="11907" w:h="16834" w:code="9"/>
          <w:pgMar w:top="5670" w:right="1134" w:bottom="1134" w:left="1134" w:header="567" w:footer="567" w:gutter="0"/>
          <w:pgNumType w:start="1"/>
          <w:cols w:space="720"/>
        </w:sectPr>
      </w:pPr>
    </w:p>
    <w:p w14:paraId="37141CC0" w14:textId="77777777" w:rsidR="00311CF4" w:rsidRDefault="00311CF4" w:rsidP="00311CF4">
      <w:pPr>
        <w:pStyle w:val="Imprint"/>
        <w:spacing w:before="1200"/>
        <w:jc w:val="left"/>
        <w:rPr>
          <w:rFonts w:cs="Segoe UI"/>
          <w:color w:val="auto"/>
        </w:rPr>
      </w:pPr>
      <w:bookmarkStart w:id="1" w:name="_Toc405792991"/>
      <w:bookmarkStart w:id="2" w:name="_Toc405793224"/>
    </w:p>
    <w:p w14:paraId="199FC2D3" w14:textId="77777777" w:rsidR="00311CF4" w:rsidRDefault="00311CF4" w:rsidP="00311CF4"/>
    <w:p w14:paraId="2101E0A9" w14:textId="77777777" w:rsidR="00311CF4" w:rsidRDefault="00311CF4" w:rsidP="00311CF4"/>
    <w:p w14:paraId="60147C39" w14:textId="77777777" w:rsidR="00311CF4" w:rsidRDefault="00311CF4" w:rsidP="00311CF4"/>
    <w:p w14:paraId="0CEE85D4" w14:textId="77777777" w:rsidR="00311CF4" w:rsidRDefault="00311CF4" w:rsidP="00311CF4"/>
    <w:p w14:paraId="3590D7CE" w14:textId="77777777" w:rsidR="00311CF4" w:rsidRPr="00C57421" w:rsidRDefault="00311CF4" w:rsidP="00311CF4"/>
    <w:p w14:paraId="10B3BFBF" w14:textId="77777777" w:rsidR="00311CF4" w:rsidRDefault="00311CF4" w:rsidP="00311CF4">
      <w:pPr>
        <w:pStyle w:val="Imprint"/>
        <w:spacing w:before="1200"/>
        <w:jc w:val="left"/>
        <w:rPr>
          <w:rFonts w:cs="Segoe UI"/>
          <w:color w:val="auto"/>
        </w:rPr>
      </w:pPr>
    </w:p>
    <w:p w14:paraId="5ACFC7EB" w14:textId="77777777" w:rsidR="00311CF4" w:rsidRDefault="00311CF4" w:rsidP="00311CF4">
      <w:pPr>
        <w:pStyle w:val="Imprint"/>
        <w:spacing w:before="1200"/>
        <w:jc w:val="left"/>
        <w:rPr>
          <w:rFonts w:cs="Segoe UI"/>
          <w:color w:val="auto"/>
        </w:rPr>
      </w:pPr>
    </w:p>
    <w:p w14:paraId="703571C9" w14:textId="76484386" w:rsidR="00311CF4" w:rsidRPr="00C57421" w:rsidRDefault="00311CF4" w:rsidP="00311CF4">
      <w:pPr>
        <w:pStyle w:val="Imprint"/>
        <w:spacing w:before="1200"/>
        <w:jc w:val="left"/>
        <w:rPr>
          <w:rFonts w:cs="Segoe UI"/>
          <w:color w:val="auto"/>
          <w:sz w:val="22"/>
          <w:szCs w:val="22"/>
        </w:rPr>
      </w:pPr>
      <w:r w:rsidRPr="00C57421">
        <w:rPr>
          <w:rFonts w:cs="Segoe UI"/>
          <w:color w:val="auto"/>
          <w:sz w:val="22"/>
          <w:szCs w:val="22"/>
        </w:rPr>
        <w:t xml:space="preserve">Citation: Ministry of Health. </w:t>
      </w:r>
      <w:r>
        <w:rPr>
          <w:rFonts w:cs="Segoe UI"/>
          <w:color w:val="auto"/>
          <w:sz w:val="22"/>
          <w:szCs w:val="22"/>
        </w:rPr>
        <w:t>2020</w:t>
      </w:r>
      <w:r w:rsidRPr="00C57421">
        <w:rPr>
          <w:rFonts w:cs="Segoe UI"/>
          <w:color w:val="auto"/>
          <w:sz w:val="22"/>
          <w:szCs w:val="22"/>
        </w:rPr>
        <w:t xml:space="preserve">. </w:t>
      </w:r>
      <w:r>
        <w:rPr>
          <w:rFonts w:cs="Segoe UI"/>
          <w:i/>
          <w:color w:val="auto"/>
          <w:sz w:val="22"/>
          <w:szCs w:val="22"/>
        </w:rPr>
        <w:t>Guideline on the regulation of medicinal cannabis in New Zealand</w:t>
      </w:r>
      <w:r w:rsidRPr="00C57421">
        <w:rPr>
          <w:rFonts w:cs="Segoe UI"/>
          <w:i/>
          <w:color w:val="auto"/>
          <w:sz w:val="22"/>
          <w:szCs w:val="22"/>
        </w:rPr>
        <w:t xml:space="preserve">: </w:t>
      </w:r>
      <w:r>
        <w:rPr>
          <w:rFonts w:cs="Segoe UI"/>
          <w:i/>
          <w:color w:val="auto"/>
          <w:sz w:val="22"/>
          <w:szCs w:val="22"/>
        </w:rPr>
        <w:t>Part 2 Information for New Zealand Manufacturers and Packers</w:t>
      </w:r>
      <w:r w:rsidRPr="00C57421">
        <w:rPr>
          <w:rFonts w:cs="Segoe UI"/>
          <w:color w:val="auto"/>
          <w:sz w:val="22"/>
          <w:szCs w:val="22"/>
        </w:rPr>
        <w:t>. Wellington: Ministry of Health.</w:t>
      </w:r>
    </w:p>
    <w:p w14:paraId="4D5B300B" w14:textId="77777777" w:rsidR="00311CF4" w:rsidRPr="00C57421" w:rsidRDefault="00311CF4" w:rsidP="00311CF4">
      <w:pPr>
        <w:pStyle w:val="Imprint"/>
        <w:jc w:val="left"/>
        <w:rPr>
          <w:color w:val="auto"/>
          <w:sz w:val="22"/>
          <w:szCs w:val="22"/>
        </w:rPr>
      </w:pPr>
      <w:r w:rsidRPr="00C57421">
        <w:rPr>
          <w:color w:val="auto"/>
          <w:sz w:val="22"/>
          <w:szCs w:val="22"/>
        </w:rPr>
        <w:t>Published in</w:t>
      </w:r>
      <w:r>
        <w:rPr>
          <w:color w:val="auto"/>
          <w:sz w:val="22"/>
          <w:szCs w:val="22"/>
        </w:rPr>
        <w:t xml:space="preserve"> April</w:t>
      </w:r>
      <w:r w:rsidRPr="00C57421">
        <w:rPr>
          <w:color w:val="auto"/>
          <w:sz w:val="22"/>
          <w:szCs w:val="22"/>
        </w:rPr>
        <w:t xml:space="preserve"> </w:t>
      </w:r>
      <w:r>
        <w:rPr>
          <w:color w:val="auto"/>
          <w:sz w:val="22"/>
          <w:szCs w:val="22"/>
        </w:rPr>
        <w:t>2020</w:t>
      </w:r>
      <w:r w:rsidRPr="00C57421">
        <w:rPr>
          <w:color w:val="auto"/>
          <w:sz w:val="22"/>
          <w:szCs w:val="22"/>
        </w:rPr>
        <w:t xml:space="preserve"> by the Ministry of Health</w:t>
      </w:r>
      <w:r w:rsidRPr="00C57421">
        <w:rPr>
          <w:color w:val="auto"/>
          <w:sz w:val="22"/>
          <w:szCs w:val="22"/>
        </w:rPr>
        <w:br/>
        <w:t>PO Box 5013, Wellington 6140, New Zealand</w:t>
      </w:r>
    </w:p>
    <w:p w14:paraId="3E4EF1EF" w14:textId="65E17582" w:rsidR="00311CF4" w:rsidRPr="00C57421" w:rsidRDefault="00311CF4" w:rsidP="00311CF4">
      <w:pPr>
        <w:pStyle w:val="Imprint"/>
        <w:jc w:val="left"/>
        <w:rPr>
          <w:color w:val="auto"/>
          <w:sz w:val="22"/>
          <w:szCs w:val="22"/>
        </w:rPr>
      </w:pPr>
      <w:r w:rsidRPr="00C57421">
        <w:rPr>
          <w:color w:val="auto"/>
          <w:sz w:val="22"/>
          <w:szCs w:val="22"/>
        </w:rPr>
        <w:t xml:space="preserve">ISBN </w:t>
      </w:r>
      <w:r w:rsidR="005B59F3" w:rsidRPr="005B59F3">
        <w:rPr>
          <w:color w:val="auto"/>
          <w:sz w:val="22"/>
          <w:szCs w:val="22"/>
        </w:rPr>
        <w:t>978-1-98-859779-9</w:t>
      </w:r>
      <w:r w:rsidRPr="00C57421">
        <w:rPr>
          <w:color w:val="auto"/>
          <w:sz w:val="22"/>
          <w:szCs w:val="22"/>
        </w:rPr>
        <w:t xml:space="preserve"> (online)</w:t>
      </w:r>
      <w:r w:rsidRPr="00C57421">
        <w:rPr>
          <w:color w:val="auto"/>
          <w:sz w:val="22"/>
          <w:szCs w:val="22"/>
        </w:rPr>
        <w:br/>
        <w:t xml:space="preserve">HP </w:t>
      </w:r>
      <w:r>
        <w:rPr>
          <w:color w:val="auto"/>
          <w:sz w:val="22"/>
          <w:szCs w:val="22"/>
        </w:rPr>
        <w:t>7386</w:t>
      </w:r>
    </w:p>
    <w:p w14:paraId="75A432CA" w14:textId="77777777" w:rsidR="00311CF4" w:rsidRDefault="00311CF4" w:rsidP="00311CF4">
      <w:r>
        <w:rPr>
          <w:noProof/>
          <w:lang w:eastAsia="en-NZ"/>
        </w:rPr>
        <w:drawing>
          <wp:inline distT="0" distB="0" distL="0" distR="0" wp14:anchorId="3FC7850C" wp14:editId="6447F925">
            <wp:extent cx="1413163" cy="57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73D6ED6" w14:textId="77777777" w:rsidR="00311CF4" w:rsidRDefault="00311CF4" w:rsidP="00311CF4">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311CF4" w:rsidRPr="00A63DFF" w14:paraId="377AE165" w14:textId="77777777" w:rsidTr="00371E7E">
        <w:trPr>
          <w:cantSplit/>
        </w:trPr>
        <w:tc>
          <w:tcPr>
            <w:tcW w:w="1526" w:type="dxa"/>
          </w:tcPr>
          <w:p w14:paraId="4AD1E088" w14:textId="77777777" w:rsidR="00311CF4" w:rsidRPr="00A63DFF" w:rsidRDefault="00311CF4" w:rsidP="00371E7E">
            <w:pPr>
              <w:rPr>
                <w:rFonts w:cs="Segoe UI"/>
                <w:sz w:val="15"/>
                <w:szCs w:val="15"/>
              </w:rPr>
            </w:pPr>
            <w:r w:rsidRPr="00A63DFF">
              <w:rPr>
                <w:rFonts w:cs="Segoe UI"/>
                <w:b/>
                <w:noProof/>
                <w:sz w:val="15"/>
                <w:szCs w:val="15"/>
                <w:lang w:eastAsia="en-NZ"/>
              </w:rPr>
              <w:drawing>
                <wp:inline distT="0" distB="0" distL="0" distR="0" wp14:anchorId="382DFC39" wp14:editId="5731F33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09FA49C" w14:textId="77777777" w:rsidR="00311CF4" w:rsidRPr="00A63DFF" w:rsidRDefault="00311CF4" w:rsidP="00371E7E">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025A8C0" w14:textId="77777777" w:rsidR="00311CF4" w:rsidRPr="001F45A7" w:rsidRDefault="00311CF4" w:rsidP="00311CF4"/>
    <w:p w14:paraId="1321461E" w14:textId="77777777" w:rsidR="00C86248" w:rsidRDefault="00C86248" w:rsidP="00025A6F">
      <w:pPr>
        <w:pStyle w:val="IntroHead"/>
      </w:pPr>
      <w:r>
        <w:lastRenderedPageBreak/>
        <w:t>Contents</w:t>
      </w:r>
      <w:bookmarkEnd w:id="1"/>
      <w:bookmarkEnd w:id="2"/>
    </w:p>
    <w:p w14:paraId="6E6F6AD0" w14:textId="05F712B8" w:rsidR="009918A6" w:rsidRDefault="003450E8">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"1-3" \h \z </w:instrText>
      </w:r>
      <w:r>
        <w:rPr>
          <w:b w:val="0"/>
        </w:rPr>
        <w:fldChar w:fldCharType="separate"/>
      </w:r>
      <w:hyperlink w:anchor="_Toc37024321" w:history="1">
        <w:r w:rsidR="009918A6" w:rsidRPr="00834C93">
          <w:rPr>
            <w:rStyle w:val="Hyperlink"/>
            <w:noProof/>
          </w:rPr>
          <w:t>Section 1: Introduction</w:t>
        </w:r>
        <w:r w:rsidR="009918A6">
          <w:rPr>
            <w:noProof/>
            <w:webHidden/>
          </w:rPr>
          <w:tab/>
        </w:r>
        <w:r w:rsidR="009918A6">
          <w:rPr>
            <w:noProof/>
            <w:webHidden/>
          </w:rPr>
          <w:fldChar w:fldCharType="begin"/>
        </w:r>
        <w:r w:rsidR="009918A6">
          <w:rPr>
            <w:noProof/>
            <w:webHidden/>
          </w:rPr>
          <w:instrText xml:space="preserve"> PAGEREF _Toc37024321 \h </w:instrText>
        </w:r>
        <w:r w:rsidR="009918A6">
          <w:rPr>
            <w:noProof/>
            <w:webHidden/>
          </w:rPr>
        </w:r>
        <w:r w:rsidR="009918A6">
          <w:rPr>
            <w:noProof/>
            <w:webHidden/>
          </w:rPr>
          <w:fldChar w:fldCharType="separate"/>
        </w:r>
        <w:r w:rsidR="0085711A">
          <w:rPr>
            <w:noProof/>
            <w:webHidden/>
          </w:rPr>
          <w:t>1</w:t>
        </w:r>
        <w:r w:rsidR="009918A6">
          <w:rPr>
            <w:noProof/>
            <w:webHidden/>
          </w:rPr>
          <w:fldChar w:fldCharType="end"/>
        </w:r>
      </w:hyperlink>
    </w:p>
    <w:p w14:paraId="43619E1B" w14:textId="45946FFD" w:rsidR="009918A6" w:rsidRDefault="00FA26D9">
      <w:pPr>
        <w:pStyle w:val="TOC1"/>
        <w:rPr>
          <w:rFonts w:asciiTheme="minorHAnsi" w:eastAsiaTheme="minorEastAsia" w:hAnsiTheme="minorHAnsi" w:cstheme="minorBidi"/>
          <w:b w:val="0"/>
          <w:noProof/>
          <w:szCs w:val="22"/>
          <w:lang w:eastAsia="en-NZ"/>
        </w:rPr>
      </w:pPr>
      <w:hyperlink w:anchor="_Toc37024322" w:history="1">
        <w:r w:rsidR="009918A6" w:rsidRPr="00834C93">
          <w:rPr>
            <w:rStyle w:val="Hyperlink"/>
            <w:noProof/>
          </w:rPr>
          <w:t>Section 2: Background on regulatory settings</w:t>
        </w:r>
        <w:r w:rsidR="009918A6">
          <w:rPr>
            <w:noProof/>
            <w:webHidden/>
          </w:rPr>
          <w:tab/>
        </w:r>
        <w:r w:rsidR="009918A6">
          <w:rPr>
            <w:noProof/>
            <w:webHidden/>
          </w:rPr>
          <w:fldChar w:fldCharType="begin"/>
        </w:r>
        <w:r w:rsidR="009918A6">
          <w:rPr>
            <w:noProof/>
            <w:webHidden/>
          </w:rPr>
          <w:instrText xml:space="preserve"> PAGEREF _Toc37024322 \h </w:instrText>
        </w:r>
        <w:r w:rsidR="009918A6">
          <w:rPr>
            <w:noProof/>
            <w:webHidden/>
          </w:rPr>
        </w:r>
        <w:r w:rsidR="009918A6">
          <w:rPr>
            <w:noProof/>
            <w:webHidden/>
          </w:rPr>
          <w:fldChar w:fldCharType="separate"/>
        </w:r>
        <w:r w:rsidR="0085711A">
          <w:rPr>
            <w:noProof/>
            <w:webHidden/>
          </w:rPr>
          <w:t>2</w:t>
        </w:r>
        <w:r w:rsidR="009918A6">
          <w:rPr>
            <w:noProof/>
            <w:webHidden/>
          </w:rPr>
          <w:fldChar w:fldCharType="end"/>
        </w:r>
      </w:hyperlink>
    </w:p>
    <w:p w14:paraId="12FB450F" w14:textId="0D49FE17" w:rsidR="009918A6" w:rsidRDefault="00FA26D9">
      <w:pPr>
        <w:pStyle w:val="TOC2"/>
        <w:rPr>
          <w:rFonts w:asciiTheme="minorHAnsi" w:eastAsiaTheme="minorEastAsia" w:hAnsiTheme="minorHAnsi" w:cstheme="minorBidi"/>
          <w:noProof/>
          <w:szCs w:val="22"/>
          <w:lang w:eastAsia="en-NZ"/>
        </w:rPr>
      </w:pPr>
      <w:hyperlink w:anchor="_Toc37024323" w:history="1">
        <w:r w:rsidR="009918A6" w:rsidRPr="00834C93">
          <w:rPr>
            <w:rStyle w:val="Hyperlink"/>
            <w:noProof/>
          </w:rPr>
          <w:t>2.1</w:t>
        </w:r>
        <w:r w:rsidR="009918A6">
          <w:rPr>
            <w:rFonts w:asciiTheme="minorHAnsi" w:eastAsiaTheme="minorEastAsia" w:hAnsiTheme="minorHAnsi" w:cstheme="minorBidi"/>
            <w:noProof/>
            <w:szCs w:val="22"/>
            <w:lang w:eastAsia="en-NZ"/>
          </w:rPr>
          <w:tab/>
        </w:r>
        <w:r w:rsidR="009918A6" w:rsidRPr="00834C93">
          <w:rPr>
            <w:rStyle w:val="Hyperlink"/>
            <w:noProof/>
          </w:rPr>
          <w:t>Medicinal Cannabis Licence</w:t>
        </w:r>
        <w:r w:rsidR="009918A6">
          <w:rPr>
            <w:noProof/>
            <w:webHidden/>
          </w:rPr>
          <w:tab/>
        </w:r>
        <w:r w:rsidR="009918A6">
          <w:rPr>
            <w:noProof/>
            <w:webHidden/>
          </w:rPr>
          <w:fldChar w:fldCharType="begin"/>
        </w:r>
        <w:r w:rsidR="009918A6">
          <w:rPr>
            <w:noProof/>
            <w:webHidden/>
          </w:rPr>
          <w:instrText xml:space="preserve"> PAGEREF _Toc37024323 \h </w:instrText>
        </w:r>
        <w:r w:rsidR="009918A6">
          <w:rPr>
            <w:noProof/>
            <w:webHidden/>
          </w:rPr>
        </w:r>
        <w:r w:rsidR="009918A6">
          <w:rPr>
            <w:noProof/>
            <w:webHidden/>
          </w:rPr>
          <w:fldChar w:fldCharType="separate"/>
        </w:r>
        <w:r w:rsidR="0085711A">
          <w:rPr>
            <w:noProof/>
            <w:webHidden/>
          </w:rPr>
          <w:t>2</w:t>
        </w:r>
        <w:r w:rsidR="009918A6">
          <w:rPr>
            <w:noProof/>
            <w:webHidden/>
          </w:rPr>
          <w:fldChar w:fldCharType="end"/>
        </w:r>
      </w:hyperlink>
    </w:p>
    <w:p w14:paraId="4C94FC5B" w14:textId="6837AFC3" w:rsidR="009918A6" w:rsidRDefault="00FA26D9">
      <w:pPr>
        <w:pStyle w:val="TOC2"/>
        <w:rPr>
          <w:rFonts w:asciiTheme="minorHAnsi" w:eastAsiaTheme="minorEastAsia" w:hAnsiTheme="minorHAnsi" w:cstheme="minorBidi"/>
          <w:noProof/>
          <w:szCs w:val="22"/>
          <w:lang w:eastAsia="en-NZ"/>
        </w:rPr>
      </w:pPr>
      <w:hyperlink w:anchor="_Toc37024324" w:history="1">
        <w:r w:rsidR="009918A6" w:rsidRPr="00834C93">
          <w:rPr>
            <w:rStyle w:val="Hyperlink"/>
            <w:noProof/>
          </w:rPr>
          <w:t>2.2</w:t>
        </w:r>
        <w:r w:rsidR="009918A6">
          <w:rPr>
            <w:rFonts w:asciiTheme="minorHAnsi" w:eastAsiaTheme="minorEastAsia" w:hAnsiTheme="minorHAnsi" w:cstheme="minorBidi"/>
            <w:noProof/>
            <w:szCs w:val="22"/>
            <w:lang w:eastAsia="en-NZ"/>
          </w:rPr>
          <w:tab/>
        </w:r>
        <w:r w:rsidR="009918A6" w:rsidRPr="00834C93">
          <w:rPr>
            <w:rStyle w:val="Hyperlink"/>
            <w:noProof/>
          </w:rPr>
          <w:t>Minimum quality standard for medicinal cannabis products</w:t>
        </w:r>
        <w:r w:rsidR="009918A6">
          <w:rPr>
            <w:noProof/>
            <w:webHidden/>
          </w:rPr>
          <w:tab/>
        </w:r>
        <w:r w:rsidR="009918A6">
          <w:rPr>
            <w:noProof/>
            <w:webHidden/>
          </w:rPr>
          <w:fldChar w:fldCharType="begin"/>
        </w:r>
        <w:r w:rsidR="009918A6">
          <w:rPr>
            <w:noProof/>
            <w:webHidden/>
          </w:rPr>
          <w:instrText xml:space="preserve"> PAGEREF _Toc37024324 \h </w:instrText>
        </w:r>
        <w:r w:rsidR="009918A6">
          <w:rPr>
            <w:noProof/>
            <w:webHidden/>
          </w:rPr>
        </w:r>
        <w:r w:rsidR="009918A6">
          <w:rPr>
            <w:noProof/>
            <w:webHidden/>
          </w:rPr>
          <w:fldChar w:fldCharType="separate"/>
        </w:r>
        <w:r w:rsidR="0085711A">
          <w:rPr>
            <w:noProof/>
            <w:webHidden/>
          </w:rPr>
          <w:t>2</w:t>
        </w:r>
        <w:r w:rsidR="009918A6">
          <w:rPr>
            <w:noProof/>
            <w:webHidden/>
          </w:rPr>
          <w:fldChar w:fldCharType="end"/>
        </w:r>
      </w:hyperlink>
    </w:p>
    <w:p w14:paraId="0AA219D6" w14:textId="3D878206" w:rsidR="009918A6" w:rsidRDefault="00FA26D9">
      <w:pPr>
        <w:pStyle w:val="TOC2"/>
        <w:rPr>
          <w:rFonts w:asciiTheme="minorHAnsi" w:eastAsiaTheme="minorEastAsia" w:hAnsiTheme="minorHAnsi" w:cstheme="minorBidi"/>
          <w:noProof/>
          <w:szCs w:val="22"/>
          <w:lang w:eastAsia="en-NZ"/>
        </w:rPr>
      </w:pPr>
      <w:hyperlink w:anchor="_Toc37024325" w:history="1">
        <w:r w:rsidR="009918A6" w:rsidRPr="00834C93">
          <w:rPr>
            <w:rStyle w:val="Hyperlink"/>
            <w:noProof/>
          </w:rPr>
          <w:t>2.3</w:t>
        </w:r>
        <w:r w:rsidR="009918A6">
          <w:rPr>
            <w:rFonts w:asciiTheme="minorHAnsi" w:eastAsiaTheme="minorEastAsia" w:hAnsiTheme="minorHAnsi" w:cstheme="minorBidi"/>
            <w:noProof/>
            <w:szCs w:val="22"/>
            <w:lang w:eastAsia="en-NZ"/>
          </w:rPr>
          <w:tab/>
        </w:r>
        <w:r w:rsidR="009918A6" w:rsidRPr="00834C93">
          <w:rPr>
            <w:rStyle w:val="Hyperlink"/>
            <w:noProof/>
          </w:rPr>
          <w:t>Licences issued under the Medicines Act 1981</w:t>
        </w:r>
        <w:r w:rsidR="009918A6">
          <w:rPr>
            <w:noProof/>
            <w:webHidden/>
          </w:rPr>
          <w:tab/>
        </w:r>
        <w:r w:rsidR="009918A6">
          <w:rPr>
            <w:noProof/>
            <w:webHidden/>
          </w:rPr>
          <w:fldChar w:fldCharType="begin"/>
        </w:r>
        <w:r w:rsidR="009918A6">
          <w:rPr>
            <w:noProof/>
            <w:webHidden/>
          </w:rPr>
          <w:instrText xml:space="preserve"> PAGEREF _Toc37024325 \h </w:instrText>
        </w:r>
        <w:r w:rsidR="009918A6">
          <w:rPr>
            <w:noProof/>
            <w:webHidden/>
          </w:rPr>
        </w:r>
        <w:r w:rsidR="009918A6">
          <w:rPr>
            <w:noProof/>
            <w:webHidden/>
          </w:rPr>
          <w:fldChar w:fldCharType="separate"/>
        </w:r>
        <w:r w:rsidR="0085711A">
          <w:rPr>
            <w:noProof/>
            <w:webHidden/>
          </w:rPr>
          <w:t>2</w:t>
        </w:r>
        <w:r w:rsidR="009918A6">
          <w:rPr>
            <w:noProof/>
            <w:webHidden/>
          </w:rPr>
          <w:fldChar w:fldCharType="end"/>
        </w:r>
      </w:hyperlink>
    </w:p>
    <w:p w14:paraId="07C5D401" w14:textId="516A094F" w:rsidR="009918A6" w:rsidRDefault="00FA26D9">
      <w:pPr>
        <w:pStyle w:val="TOC2"/>
        <w:rPr>
          <w:rFonts w:asciiTheme="minorHAnsi" w:eastAsiaTheme="minorEastAsia" w:hAnsiTheme="minorHAnsi" w:cstheme="minorBidi"/>
          <w:noProof/>
          <w:szCs w:val="22"/>
          <w:lang w:eastAsia="en-NZ"/>
        </w:rPr>
      </w:pPr>
      <w:hyperlink w:anchor="_Toc37024326" w:history="1">
        <w:r w:rsidR="009918A6" w:rsidRPr="00834C93">
          <w:rPr>
            <w:rStyle w:val="Hyperlink"/>
            <w:noProof/>
          </w:rPr>
          <w:t>2.4</w:t>
        </w:r>
        <w:r w:rsidR="009918A6">
          <w:rPr>
            <w:rFonts w:asciiTheme="minorHAnsi" w:eastAsiaTheme="minorEastAsia" w:hAnsiTheme="minorHAnsi" w:cstheme="minorBidi"/>
            <w:noProof/>
            <w:szCs w:val="22"/>
            <w:lang w:eastAsia="en-NZ"/>
          </w:rPr>
          <w:tab/>
        </w:r>
        <w:r w:rsidR="009918A6" w:rsidRPr="00834C93">
          <w:rPr>
            <w:rStyle w:val="Hyperlink"/>
            <w:noProof/>
          </w:rPr>
          <w:t>Licence to import or export controlled drugs</w:t>
        </w:r>
        <w:r w:rsidR="009918A6">
          <w:rPr>
            <w:noProof/>
            <w:webHidden/>
          </w:rPr>
          <w:tab/>
        </w:r>
        <w:r w:rsidR="009918A6">
          <w:rPr>
            <w:noProof/>
            <w:webHidden/>
          </w:rPr>
          <w:fldChar w:fldCharType="begin"/>
        </w:r>
        <w:r w:rsidR="009918A6">
          <w:rPr>
            <w:noProof/>
            <w:webHidden/>
          </w:rPr>
          <w:instrText xml:space="preserve"> PAGEREF _Toc37024326 \h </w:instrText>
        </w:r>
        <w:r w:rsidR="009918A6">
          <w:rPr>
            <w:noProof/>
            <w:webHidden/>
          </w:rPr>
        </w:r>
        <w:r w:rsidR="009918A6">
          <w:rPr>
            <w:noProof/>
            <w:webHidden/>
          </w:rPr>
          <w:fldChar w:fldCharType="separate"/>
        </w:r>
        <w:r w:rsidR="0085711A">
          <w:rPr>
            <w:noProof/>
            <w:webHidden/>
          </w:rPr>
          <w:t>3</w:t>
        </w:r>
        <w:r w:rsidR="009918A6">
          <w:rPr>
            <w:noProof/>
            <w:webHidden/>
          </w:rPr>
          <w:fldChar w:fldCharType="end"/>
        </w:r>
      </w:hyperlink>
    </w:p>
    <w:p w14:paraId="4B62D2C0" w14:textId="0819EC94" w:rsidR="009918A6" w:rsidRDefault="00FA26D9">
      <w:pPr>
        <w:pStyle w:val="TOC1"/>
        <w:rPr>
          <w:rFonts w:asciiTheme="minorHAnsi" w:eastAsiaTheme="minorEastAsia" w:hAnsiTheme="minorHAnsi" w:cstheme="minorBidi"/>
          <w:b w:val="0"/>
          <w:noProof/>
          <w:szCs w:val="22"/>
          <w:lang w:eastAsia="en-NZ"/>
        </w:rPr>
      </w:pPr>
      <w:hyperlink w:anchor="_Toc37024327" w:history="1">
        <w:r w:rsidR="009918A6" w:rsidRPr="00834C93">
          <w:rPr>
            <w:rStyle w:val="Hyperlink"/>
            <w:noProof/>
          </w:rPr>
          <w:t>Section 3: Good Manufacturing Practice – complying with the GMP Code</w:t>
        </w:r>
        <w:r w:rsidR="009918A6">
          <w:rPr>
            <w:noProof/>
            <w:webHidden/>
          </w:rPr>
          <w:tab/>
        </w:r>
        <w:r w:rsidR="009918A6">
          <w:rPr>
            <w:noProof/>
            <w:webHidden/>
          </w:rPr>
          <w:fldChar w:fldCharType="begin"/>
        </w:r>
        <w:r w:rsidR="009918A6">
          <w:rPr>
            <w:noProof/>
            <w:webHidden/>
          </w:rPr>
          <w:instrText xml:space="preserve"> PAGEREF _Toc37024327 \h </w:instrText>
        </w:r>
        <w:r w:rsidR="009918A6">
          <w:rPr>
            <w:noProof/>
            <w:webHidden/>
          </w:rPr>
        </w:r>
        <w:r w:rsidR="009918A6">
          <w:rPr>
            <w:noProof/>
            <w:webHidden/>
          </w:rPr>
          <w:fldChar w:fldCharType="separate"/>
        </w:r>
        <w:r w:rsidR="0085711A">
          <w:rPr>
            <w:noProof/>
            <w:webHidden/>
          </w:rPr>
          <w:t>4</w:t>
        </w:r>
        <w:r w:rsidR="009918A6">
          <w:rPr>
            <w:noProof/>
            <w:webHidden/>
          </w:rPr>
          <w:fldChar w:fldCharType="end"/>
        </w:r>
      </w:hyperlink>
    </w:p>
    <w:p w14:paraId="293BE5EB" w14:textId="366534B7" w:rsidR="009918A6" w:rsidRDefault="00FA26D9">
      <w:pPr>
        <w:pStyle w:val="TOC2"/>
        <w:rPr>
          <w:rFonts w:asciiTheme="minorHAnsi" w:eastAsiaTheme="minorEastAsia" w:hAnsiTheme="minorHAnsi" w:cstheme="minorBidi"/>
          <w:noProof/>
          <w:szCs w:val="22"/>
          <w:lang w:eastAsia="en-NZ"/>
        </w:rPr>
      </w:pPr>
      <w:hyperlink w:anchor="_Toc37024328" w:history="1">
        <w:r w:rsidR="009918A6" w:rsidRPr="00834C93">
          <w:rPr>
            <w:rStyle w:val="Hyperlink"/>
            <w:noProof/>
          </w:rPr>
          <w:t>3.1</w:t>
        </w:r>
        <w:r w:rsidR="009918A6">
          <w:rPr>
            <w:rFonts w:asciiTheme="minorHAnsi" w:eastAsiaTheme="minorEastAsia" w:hAnsiTheme="minorHAnsi" w:cstheme="minorBidi"/>
            <w:noProof/>
            <w:szCs w:val="22"/>
            <w:lang w:eastAsia="en-NZ"/>
          </w:rPr>
          <w:tab/>
        </w:r>
        <w:r w:rsidR="009918A6" w:rsidRPr="00834C93">
          <w:rPr>
            <w:rStyle w:val="Hyperlink"/>
            <w:noProof/>
          </w:rPr>
          <w:t>The GMP Code</w:t>
        </w:r>
        <w:r w:rsidR="009918A6">
          <w:rPr>
            <w:noProof/>
            <w:webHidden/>
          </w:rPr>
          <w:tab/>
        </w:r>
        <w:r w:rsidR="009918A6">
          <w:rPr>
            <w:noProof/>
            <w:webHidden/>
          </w:rPr>
          <w:fldChar w:fldCharType="begin"/>
        </w:r>
        <w:r w:rsidR="009918A6">
          <w:rPr>
            <w:noProof/>
            <w:webHidden/>
          </w:rPr>
          <w:instrText xml:space="preserve"> PAGEREF _Toc37024328 \h </w:instrText>
        </w:r>
        <w:r w:rsidR="009918A6">
          <w:rPr>
            <w:noProof/>
            <w:webHidden/>
          </w:rPr>
        </w:r>
        <w:r w:rsidR="009918A6">
          <w:rPr>
            <w:noProof/>
            <w:webHidden/>
          </w:rPr>
          <w:fldChar w:fldCharType="separate"/>
        </w:r>
        <w:r w:rsidR="0085711A">
          <w:rPr>
            <w:noProof/>
            <w:webHidden/>
          </w:rPr>
          <w:t>4</w:t>
        </w:r>
        <w:r w:rsidR="009918A6">
          <w:rPr>
            <w:noProof/>
            <w:webHidden/>
          </w:rPr>
          <w:fldChar w:fldCharType="end"/>
        </w:r>
      </w:hyperlink>
    </w:p>
    <w:p w14:paraId="79F03DDC" w14:textId="2B46257B" w:rsidR="009918A6" w:rsidRDefault="00FA26D9">
      <w:pPr>
        <w:pStyle w:val="TOC2"/>
        <w:rPr>
          <w:rFonts w:asciiTheme="minorHAnsi" w:eastAsiaTheme="minorEastAsia" w:hAnsiTheme="minorHAnsi" w:cstheme="minorBidi"/>
          <w:noProof/>
          <w:szCs w:val="22"/>
          <w:lang w:eastAsia="en-NZ"/>
        </w:rPr>
      </w:pPr>
      <w:hyperlink w:anchor="_Toc37024329" w:history="1">
        <w:r w:rsidR="009918A6" w:rsidRPr="00834C93">
          <w:rPr>
            <w:rStyle w:val="Hyperlink"/>
            <w:noProof/>
          </w:rPr>
          <w:t>3.2</w:t>
        </w:r>
        <w:r w:rsidR="009918A6">
          <w:rPr>
            <w:rFonts w:asciiTheme="minorHAnsi" w:eastAsiaTheme="minorEastAsia" w:hAnsiTheme="minorHAnsi" w:cstheme="minorBidi"/>
            <w:noProof/>
            <w:szCs w:val="22"/>
            <w:lang w:eastAsia="en-NZ"/>
          </w:rPr>
          <w:tab/>
        </w:r>
        <w:r w:rsidR="009918A6" w:rsidRPr="00834C93">
          <w:rPr>
            <w:rStyle w:val="Hyperlink"/>
            <w:noProof/>
          </w:rPr>
          <w:t>How to find out more about the GMP Code</w:t>
        </w:r>
        <w:r w:rsidR="009918A6">
          <w:rPr>
            <w:noProof/>
            <w:webHidden/>
          </w:rPr>
          <w:tab/>
        </w:r>
        <w:r w:rsidR="009918A6">
          <w:rPr>
            <w:noProof/>
            <w:webHidden/>
          </w:rPr>
          <w:fldChar w:fldCharType="begin"/>
        </w:r>
        <w:r w:rsidR="009918A6">
          <w:rPr>
            <w:noProof/>
            <w:webHidden/>
          </w:rPr>
          <w:instrText xml:space="preserve"> PAGEREF _Toc37024329 \h </w:instrText>
        </w:r>
        <w:r w:rsidR="009918A6">
          <w:rPr>
            <w:noProof/>
            <w:webHidden/>
          </w:rPr>
        </w:r>
        <w:r w:rsidR="009918A6">
          <w:rPr>
            <w:noProof/>
            <w:webHidden/>
          </w:rPr>
          <w:fldChar w:fldCharType="separate"/>
        </w:r>
        <w:r w:rsidR="0085711A">
          <w:rPr>
            <w:noProof/>
            <w:webHidden/>
          </w:rPr>
          <w:t>5</w:t>
        </w:r>
        <w:r w:rsidR="009918A6">
          <w:rPr>
            <w:noProof/>
            <w:webHidden/>
          </w:rPr>
          <w:fldChar w:fldCharType="end"/>
        </w:r>
      </w:hyperlink>
    </w:p>
    <w:p w14:paraId="10822ACB" w14:textId="768CB2A1" w:rsidR="009918A6" w:rsidRDefault="00FA26D9">
      <w:pPr>
        <w:pStyle w:val="TOC1"/>
        <w:rPr>
          <w:rFonts w:asciiTheme="minorHAnsi" w:eastAsiaTheme="minorEastAsia" w:hAnsiTheme="minorHAnsi" w:cstheme="minorBidi"/>
          <w:b w:val="0"/>
          <w:noProof/>
          <w:szCs w:val="22"/>
          <w:lang w:eastAsia="en-NZ"/>
        </w:rPr>
      </w:pPr>
      <w:hyperlink w:anchor="_Toc37024330" w:history="1">
        <w:r w:rsidR="009918A6" w:rsidRPr="00834C93">
          <w:rPr>
            <w:rStyle w:val="Hyperlink"/>
            <w:noProof/>
          </w:rPr>
          <w:t>Section 4: When to start implementing the GMP Code in the manufacturing process</w:t>
        </w:r>
        <w:r w:rsidR="009918A6">
          <w:rPr>
            <w:noProof/>
            <w:webHidden/>
          </w:rPr>
          <w:tab/>
        </w:r>
        <w:r w:rsidR="009918A6">
          <w:rPr>
            <w:noProof/>
            <w:webHidden/>
          </w:rPr>
          <w:fldChar w:fldCharType="begin"/>
        </w:r>
        <w:r w:rsidR="009918A6">
          <w:rPr>
            <w:noProof/>
            <w:webHidden/>
          </w:rPr>
          <w:instrText xml:space="preserve"> PAGEREF _Toc37024330 \h </w:instrText>
        </w:r>
        <w:r w:rsidR="009918A6">
          <w:rPr>
            <w:noProof/>
            <w:webHidden/>
          </w:rPr>
        </w:r>
        <w:r w:rsidR="009918A6">
          <w:rPr>
            <w:noProof/>
            <w:webHidden/>
          </w:rPr>
          <w:fldChar w:fldCharType="separate"/>
        </w:r>
        <w:r w:rsidR="0085711A">
          <w:rPr>
            <w:noProof/>
            <w:webHidden/>
          </w:rPr>
          <w:t>6</w:t>
        </w:r>
        <w:r w:rsidR="009918A6">
          <w:rPr>
            <w:noProof/>
            <w:webHidden/>
          </w:rPr>
          <w:fldChar w:fldCharType="end"/>
        </w:r>
      </w:hyperlink>
    </w:p>
    <w:p w14:paraId="6CB0699D" w14:textId="386326CC" w:rsidR="009918A6" w:rsidRDefault="00FA26D9">
      <w:pPr>
        <w:pStyle w:val="TOC1"/>
        <w:rPr>
          <w:rFonts w:asciiTheme="minorHAnsi" w:eastAsiaTheme="minorEastAsia" w:hAnsiTheme="minorHAnsi" w:cstheme="minorBidi"/>
          <w:b w:val="0"/>
          <w:noProof/>
          <w:szCs w:val="22"/>
          <w:lang w:eastAsia="en-NZ"/>
        </w:rPr>
      </w:pPr>
      <w:hyperlink w:anchor="_Toc37024331" w:history="1">
        <w:r w:rsidR="009918A6" w:rsidRPr="00834C93">
          <w:rPr>
            <w:rStyle w:val="Hyperlink"/>
            <w:noProof/>
          </w:rPr>
          <w:t>Section 5: How to prepare for an audit against the GMP Code</w:t>
        </w:r>
        <w:r w:rsidR="009918A6">
          <w:rPr>
            <w:noProof/>
            <w:webHidden/>
          </w:rPr>
          <w:tab/>
        </w:r>
        <w:r w:rsidR="009918A6">
          <w:rPr>
            <w:noProof/>
            <w:webHidden/>
          </w:rPr>
          <w:fldChar w:fldCharType="begin"/>
        </w:r>
        <w:r w:rsidR="009918A6">
          <w:rPr>
            <w:noProof/>
            <w:webHidden/>
          </w:rPr>
          <w:instrText xml:space="preserve"> PAGEREF _Toc37024331 \h </w:instrText>
        </w:r>
        <w:r w:rsidR="009918A6">
          <w:rPr>
            <w:noProof/>
            <w:webHidden/>
          </w:rPr>
        </w:r>
        <w:r w:rsidR="009918A6">
          <w:rPr>
            <w:noProof/>
            <w:webHidden/>
          </w:rPr>
          <w:fldChar w:fldCharType="separate"/>
        </w:r>
        <w:r w:rsidR="0085711A">
          <w:rPr>
            <w:noProof/>
            <w:webHidden/>
          </w:rPr>
          <w:t>8</w:t>
        </w:r>
        <w:r w:rsidR="009918A6">
          <w:rPr>
            <w:noProof/>
            <w:webHidden/>
          </w:rPr>
          <w:fldChar w:fldCharType="end"/>
        </w:r>
      </w:hyperlink>
    </w:p>
    <w:p w14:paraId="46D08AE5" w14:textId="3AF17CCB" w:rsidR="009918A6" w:rsidRDefault="00FA26D9">
      <w:pPr>
        <w:pStyle w:val="TOC2"/>
        <w:rPr>
          <w:rFonts w:asciiTheme="minorHAnsi" w:eastAsiaTheme="minorEastAsia" w:hAnsiTheme="minorHAnsi" w:cstheme="minorBidi"/>
          <w:noProof/>
          <w:szCs w:val="22"/>
          <w:lang w:eastAsia="en-NZ"/>
        </w:rPr>
      </w:pPr>
      <w:hyperlink w:anchor="_Toc37024332" w:history="1">
        <w:r w:rsidR="009918A6" w:rsidRPr="00834C93">
          <w:rPr>
            <w:rStyle w:val="Hyperlink"/>
            <w:noProof/>
          </w:rPr>
          <w:t>5.1</w:t>
        </w:r>
        <w:r w:rsidR="009918A6">
          <w:rPr>
            <w:rFonts w:asciiTheme="minorHAnsi" w:eastAsiaTheme="minorEastAsia" w:hAnsiTheme="minorHAnsi" w:cstheme="minorBidi"/>
            <w:noProof/>
            <w:szCs w:val="22"/>
            <w:lang w:eastAsia="en-NZ"/>
          </w:rPr>
          <w:tab/>
        </w:r>
        <w:r w:rsidR="009918A6" w:rsidRPr="00834C93">
          <w:rPr>
            <w:rStyle w:val="Hyperlink"/>
            <w:noProof/>
          </w:rPr>
          <w:t>Quality management system</w:t>
        </w:r>
        <w:r w:rsidR="009918A6">
          <w:rPr>
            <w:noProof/>
            <w:webHidden/>
          </w:rPr>
          <w:tab/>
        </w:r>
        <w:r w:rsidR="009918A6">
          <w:rPr>
            <w:noProof/>
            <w:webHidden/>
          </w:rPr>
          <w:fldChar w:fldCharType="begin"/>
        </w:r>
        <w:r w:rsidR="009918A6">
          <w:rPr>
            <w:noProof/>
            <w:webHidden/>
          </w:rPr>
          <w:instrText xml:space="preserve"> PAGEREF _Toc37024332 \h </w:instrText>
        </w:r>
        <w:r w:rsidR="009918A6">
          <w:rPr>
            <w:noProof/>
            <w:webHidden/>
          </w:rPr>
        </w:r>
        <w:r w:rsidR="009918A6">
          <w:rPr>
            <w:noProof/>
            <w:webHidden/>
          </w:rPr>
          <w:fldChar w:fldCharType="separate"/>
        </w:r>
        <w:r w:rsidR="0085711A">
          <w:rPr>
            <w:noProof/>
            <w:webHidden/>
          </w:rPr>
          <w:t>8</w:t>
        </w:r>
        <w:r w:rsidR="009918A6">
          <w:rPr>
            <w:noProof/>
            <w:webHidden/>
          </w:rPr>
          <w:fldChar w:fldCharType="end"/>
        </w:r>
      </w:hyperlink>
    </w:p>
    <w:p w14:paraId="496D4B88" w14:textId="76D3009B" w:rsidR="009918A6" w:rsidRDefault="00FA26D9">
      <w:pPr>
        <w:pStyle w:val="TOC2"/>
        <w:rPr>
          <w:rFonts w:asciiTheme="minorHAnsi" w:eastAsiaTheme="minorEastAsia" w:hAnsiTheme="minorHAnsi" w:cstheme="minorBidi"/>
          <w:noProof/>
          <w:szCs w:val="22"/>
          <w:lang w:eastAsia="en-NZ"/>
        </w:rPr>
      </w:pPr>
      <w:hyperlink w:anchor="_Toc37024333" w:history="1">
        <w:r w:rsidR="009918A6" w:rsidRPr="00834C93">
          <w:rPr>
            <w:rStyle w:val="Hyperlink"/>
            <w:noProof/>
          </w:rPr>
          <w:t>5.2</w:t>
        </w:r>
        <w:r w:rsidR="009918A6">
          <w:rPr>
            <w:rFonts w:asciiTheme="minorHAnsi" w:eastAsiaTheme="minorEastAsia" w:hAnsiTheme="minorHAnsi" w:cstheme="minorBidi"/>
            <w:noProof/>
            <w:szCs w:val="22"/>
            <w:lang w:eastAsia="en-NZ"/>
          </w:rPr>
          <w:tab/>
        </w:r>
        <w:r w:rsidR="009918A6" w:rsidRPr="00834C93">
          <w:rPr>
            <w:rStyle w:val="Hyperlink"/>
            <w:noProof/>
          </w:rPr>
          <w:t>Premises and equipment</w:t>
        </w:r>
        <w:r w:rsidR="009918A6">
          <w:rPr>
            <w:noProof/>
            <w:webHidden/>
          </w:rPr>
          <w:tab/>
        </w:r>
        <w:r w:rsidR="009918A6">
          <w:rPr>
            <w:noProof/>
            <w:webHidden/>
          </w:rPr>
          <w:fldChar w:fldCharType="begin"/>
        </w:r>
        <w:r w:rsidR="009918A6">
          <w:rPr>
            <w:noProof/>
            <w:webHidden/>
          </w:rPr>
          <w:instrText xml:space="preserve"> PAGEREF _Toc37024333 \h </w:instrText>
        </w:r>
        <w:r w:rsidR="009918A6">
          <w:rPr>
            <w:noProof/>
            <w:webHidden/>
          </w:rPr>
        </w:r>
        <w:r w:rsidR="009918A6">
          <w:rPr>
            <w:noProof/>
            <w:webHidden/>
          </w:rPr>
          <w:fldChar w:fldCharType="separate"/>
        </w:r>
        <w:r w:rsidR="0085711A">
          <w:rPr>
            <w:noProof/>
            <w:webHidden/>
          </w:rPr>
          <w:t>8</w:t>
        </w:r>
        <w:r w:rsidR="009918A6">
          <w:rPr>
            <w:noProof/>
            <w:webHidden/>
          </w:rPr>
          <w:fldChar w:fldCharType="end"/>
        </w:r>
      </w:hyperlink>
    </w:p>
    <w:p w14:paraId="00F7802B" w14:textId="692375AF" w:rsidR="009918A6" w:rsidRDefault="00FA26D9">
      <w:pPr>
        <w:pStyle w:val="TOC2"/>
        <w:rPr>
          <w:rFonts w:asciiTheme="minorHAnsi" w:eastAsiaTheme="minorEastAsia" w:hAnsiTheme="minorHAnsi" w:cstheme="minorBidi"/>
          <w:noProof/>
          <w:szCs w:val="22"/>
          <w:lang w:eastAsia="en-NZ"/>
        </w:rPr>
      </w:pPr>
      <w:hyperlink w:anchor="_Toc37024334" w:history="1">
        <w:r w:rsidR="009918A6" w:rsidRPr="00834C93">
          <w:rPr>
            <w:rStyle w:val="Hyperlink"/>
            <w:noProof/>
          </w:rPr>
          <w:t>5.3</w:t>
        </w:r>
        <w:r w:rsidR="009918A6">
          <w:rPr>
            <w:rFonts w:asciiTheme="minorHAnsi" w:eastAsiaTheme="minorEastAsia" w:hAnsiTheme="minorHAnsi" w:cstheme="minorBidi"/>
            <w:noProof/>
            <w:szCs w:val="22"/>
            <w:lang w:eastAsia="en-NZ"/>
          </w:rPr>
          <w:tab/>
        </w:r>
        <w:r w:rsidR="009918A6" w:rsidRPr="00834C93">
          <w:rPr>
            <w:rStyle w:val="Hyperlink"/>
            <w:noProof/>
          </w:rPr>
          <w:t>Product development must be complete</w:t>
        </w:r>
        <w:r w:rsidR="009918A6">
          <w:rPr>
            <w:noProof/>
            <w:webHidden/>
          </w:rPr>
          <w:tab/>
        </w:r>
        <w:r w:rsidR="009918A6">
          <w:rPr>
            <w:noProof/>
            <w:webHidden/>
          </w:rPr>
          <w:fldChar w:fldCharType="begin"/>
        </w:r>
        <w:r w:rsidR="009918A6">
          <w:rPr>
            <w:noProof/>
            <w:webHidden/>
          </w:rPr>
          <w:instrText xml:space="preserve"> PAGEREF _Toc37024334 \h </w:instrText>
        </w:r>
        <w:r w:rsidR="009918A6">
          <w:rPr>
            <w:noProof/>
            <w:webHidden/>
          </w:rPr>
        </w:r>
        <w:r w:rsidR="009918A6">
          <w:rPr>
            <w:noProof/>
            <w:webHidden/>
          </w:rPr>
          <w:fldChar w:fldCharType="separate"/>
        </w:r>
        <w:r w:rsidR="0085711A">
          <w:rPr>
            <w:noProof/>
            <w:webHidden/>
          </w:rPr>
          <w:t>9</w:t>
        </w:r>
        <w:r w:rsidR="009918A6">
          <w:rPr>
            <w:noProof/>
            <w:webHidden/>
          </w:rPr>
          <w:fldChar w:fldCharType="end"/>
        </w:r>
      </w:hyperlink>
    </w:p>
    <w:p w14:paraId="31FCAA58" w14:textId="4DF8EE68" w:rsidR="009918A6" w:rsidRDefault="00FA26D9">
      <w:pPr>
        <w:pStyle w:val="TOC2"/>
        <w:rPr>
          <w:rFonts w:asciiTheme="minorHAnsi" w:eastAsiaTheme="minorEastAsia" w:hAnsiTheme="minorHAnsi" w:cstheme="minorBidi"/>
          <w:noProof/>
          <w:szCs w:val="22"/>
          <w:lang w:eastAsia="en-NZ"/>
        </w:rPr>
      </w:pPr>
      <w:hyperlink w:anchor="_Toc37024335" w:history="1">
        <w:r w:rsidR="009918A6" w:rsidRPr="00834C93">
          <w:rPr>
            <w:rStyle w:val="Hyperlink"/>
            <w:noProof/>
          </w:rPr>
          <w:t>5.4</w:t>
        </w:r>
        <w:r w:rsidR="009918A6">
          <w:rPr>
            <w:rFonts w:asciiTheme="minorHAnsi" w:eastAsiaTheme="minorEastAsia" w:hAnsiTheme="minorHAnsi" w:cstheme="minorBidi"/>
            <w:noProof/>
            <w:szCs w:val="22"/>
            <w:lang w:eastAsia="en-NZ"/>
          </w:rPr>
          <w:tab/>
        </w:r>
        <w:r w:rsidR="009918A6" w:rsidRPr="00834C93">
          <w:rPr>
            <w:rStyle w:val="Hyperlink"/>
            <w:noProof/>
          </w:rPr>
          <w:t>Process validation</w:t>
        </w:r>
        <w:r w:rsidR="009918A6">
          <w:rPr>
            <w:noProof/>
            <w:webHidden/>
          </w:rPr>
          <w:tab/>
        </w:r>
        <w:r w:rsidR="009918A6">
          <w:rPr>
            <w:noProof/>
            <w:webHidden/>
          </w:rPr>
          <w:fldChar w:fldCharType="begin"/>
        </w:r>
        <w:r w:rsidR="009918A6">
          <w:rPr>
            <w:noProof/>
            <w:webHidden/>
          </w:rPr>
          <w:instrText xml:space="preserve"> PAGEREF _Toc37024335 \h </w:instrText>
        </w:r>
        <w:r w:rsidR="009918A6">
          <w:rPr>
            <w:noProof/>
            <w:webHidden/>
          </w:rPr>
        </w:r>
        <w:r w:rsidR="009918A6">
          <w:rPr>
            <w:noProof/>
            <w:webHidden/>
          </w:rPr>
          <w:fldChar w:fldCharType="separate"/>
        </w:r>
        <w:r w:rsidR="0085711A">
          <w:rPr>
            <w:noProof/>
            <w:webHidden/>
          </w:rPr>
          <w:t>9</w:t>
        </w:r>
        <w:r w:rsidR="009918A6">
          <w:rPr>
            <w:noProof/>
            <w:webHidden/>
          </w:rPr>
          <w:fldChar w:fldCharType="end"/>
        </w:r>
      </w:hyperlink>
    </w:p>
    <w:p w14:paraId="451FB8B4" w14:textId="40C8232A" w:rsidR="009918A6" w:rsidRDefault="00FA26D9">
      <w:pPr>
        <w:pStyle w:val="TOC2"/>
        <w:rPr>
          <w:rFonts w:asciiTheme="minorHAnsi" w:eastAsiaTheme="minorEastAsia" w:hAnsiTheme="minorHAnsi" w:cstheme="minorBidi"/>
          <w:noProof/>
          <w:szCs w:val="22"/>
          <w:lang w:eastAsia="en-NZ"/>
        </w:rPr>
      </w:pPr>
      <w:hyperlink w:anchor="_Toc37024336" w:history="1">
        <w:r w:rsidR="009918A6" w:rsidRPr="00834C93">
          <w:rPr>
            <w:rStyle w:val="Hyperlink"/>
            <w:noProof/>
          </w:rPr>
          <w:t>5.5</w:t>
        </w:r>
        <w:r w:rsidR="009918A6">
          <w:rPr>
            <w:rFonts w:asciiTheme="minorHAnsi" w:eastAsiaTheme="minorEastAsia" w:hAnsiTheme="minorHAnsi" w:cstheme="minorBidi"/>
            <w:noProof/>
            <w:szCs w:val="22"/>
            <w:lang w:eastAsia="en-NZ"/>
          </w:rPr>
          <w:tab/>
        </w:r>
        <w:r w:rsidR="009918A6" w:rsidRPr="00834C93">
          <w:rPr>
            <w:rStyle w:val="Hyperlink"/>
            <w:noProof/>
          </w:rPr>
          <w:t>Site master file</w:t>
        </w:r>
        <w:r w:rsidR="009918A6">
          <w:rPr>
            <w:noProof/>
            <w:webHidden/>
          </w:rPr>
          <w:tab/>
        </w:r>
        <w:r w:rsidR="009918A6">
          <w:rPr>
            <w:noProof/>
            <w:webHidden/>
          </w:rPr>
          <w:fldChar w:fldCharType="begin"/>
        </w:r>
        <w:r w:rsidR="009918A6">
          <w:rPr>
            <w:noProof/>
            <w:webHidden/>
          </w:rPr>
          <w:instrText xml:space="preserve"> PAGEREF _Toc37024336 \h </w:instrText>
        </w:r>
        <w:r w:rsidR="009918A6">
          <w:rPr>
            <w:noProof/>
            <w:webHidden/>
          </w:rPr>
        </w:r>
        <w:r w:rsidR="009918A6">
          <w:rPr>
            <w:noProof/>
            <w:webHidden/>
          </w:rPr>
          <w:fldChar w:fldCharType="separate"/>
        </w:r>
        <w:r w:rsidR="0085711A">
          <w:rPr>
            <w:noProof/>
            <w:webHidden/>
          </w:rPr>
          <w:t>9</w:t>
        </w:r>
        <w:r w:rsidR="009918A6">
          <w:rPr>
            <w:noProof/>
            <w:webHidden/>
          </w:rPr>
          <w:fldChar w:fldCharType="end"/>
        </w:r>
      </w:hyperlink>
    </w:p>
    <w:p w14:paraId="6CFDA259" w14:textId="04639DEC" w:rsidR="009918A6" w:rsidRDefault="00FA26D9">
      <w:pPr>
        <w:pStyle w:val="TOC1"/>
        <w:rPr>
          <w:rFonts w:asciiTheme="minorHAnsi" w:eastAsiaTheme="minorEastAsia" w:hAnsiTheme="minorHAnsi" w:cstheme="minorBidi"/>
          <w:b w:val="0"/>
          <w:noProof/>
          <w:szCs w:val="22"/>
          <w:lang w:eastAsia="en-NZ"/>
        </w:rPr>
      </w:pPr>
      <w:hyperlink w:anchor="_Toc37024337" w:history="1">
        <w:r w:rsidR="009918A6" w:rsidRPr="00834C93">
          <w:rPr>
            <w:rStyle w:val="Hyperlink"/>
            <w:noProof/>
          </w:rPr>
          <w:t>Section 6: The audit process</w:t>
        </w:r>
        <w:r w:rsidR="009918A6">
          <w:rPr>
            <w:noProof/>
            <w:webHidden/>
          </w:rPr>
          <w:tab/>
        </w:r>
        <w:r w:rsidR="009918A6">
          <w:rPr>
            <w:noProof/>
            <w:webHidden/>
          </w:rPr>
          <w:fldChar w:fldCharType="begin"/>
        </w:r>
        <w:r w:rsidR="009918A6">
          <w:rPr>
            <w:noProof/>
            <w:webHidden/>
          </w:rPr>
          <w:instrText xml:space="preserve"> PAGEREF _Toc37024337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594A2778" w14:textId="3DEE3E44" w:rsidR="009918A6" w:rsidRDefault="00FA26D9">
      <w:pPr>
        <w:pStyle w:val="TOC2"/>
        <w:rPr>
          <w:rFonts w:asciiTheme="minorHAnsi" w:eastAsiaTheme="minorEastAsia" w:hAnsiTheme="minorHAnsi" w:cstheme="minorBidi"/>
          <w:noProof/>
          <w:szCs w:val="22"/>
          <w:lang w:eastAsia="en-NZ"/>
        </w:rPr>
      </w:pPr>
      <w:hyperlink w:anchor="_Toc37024338" w:history="1">
        <w:r w:rsidR="009918A6" w:rsidRPr="00834C93">
          <w:rPr>
            <w:rStyle w:val="Hyperlink"/>
            <w:noProof/>
          </w:rPr>
          <w:t>6.1</w:t>
        </w:r>
        <w:r w:rsidR="009918A6">
          <w:rPr>
            <w:rFonts w:asciiTheme="minorHAnsi" w:eastAsiaTheme="minorEastAsia" w:hAnsiTheme="minorHAnsi" w:cstheme="minorBidi"/>
            <w:noProof/>
            <w:szCs w:val="22"/>
            <w:lang w:eastAsia="en-NZ"/>
          </w:rPr>
          <w:tab/>
        </w:r>
        <w:r w:rsidR="009918A6" w:rsidRPr="00834C93">
          <w:rPr>
            <w:rStyle w:val="Hyperlink"/>
            <w:noProof/>
          </w:rPr>
          <w:t>Lodging the application</w:t>
        </w:r>
        <w:r w:rsidR="009918A6">
          <w:rPr>
            <w:noProof/>
            <w:webHidden/>
          </w:rPr>
          <w:tab/>
        </w:r>
        <w:r w:rsidR="009918A6">
          <w:rPr>
            <w:noProof/>
            <w:webHidden/>
          </w:rPr>
          <w:fldChar w:fldCharType="begin"/>
        </w:r>
        <w:r w:rsidR="009918A6">
          <w:rPr>
            <w:noProof/>
            <w:webHidden/>
          </w:rPr>
          <w:instrText xml:space="preserve"> PAGEREF _Toc37024338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0CD8F93E" w14:textId="20B799DD" w:rsidR="009918A6" w:rsidRDefault="00FA26D9">
      <w:pPr>
        <w:pStyle w:val="TOC2"/>
        <w:rPr>
          <w:rFonts w:asciiTheme="minorHAnsi" w:eastAsiaTheme="minorEastAsia" w:hAnsiTheme="minorHAnsi" w:cstheme="minorBidi"/>
          <w:noProof/>
          <w:szCs w:val="22"/>
          <w:lang w:eastAsia="en-NZ"/>
        </w:rPr>
      </w:pPr>
      <w:hyperlink w:anchor="_Toc37024339" w:history="1">
        <w:r w:rsidR="009918A6" w:rsidRPr="00834C93">
          <w:rPr>
            <w:rStyle w:val="Hyperlink"/>
            <w:noProof/>
          </w:rPr>
          <w:t>6.2</w:t>
        </w:r>
        <w:r w:rsidR="009918A6">
          <w:rPr>
            <w:rFonts w:asciiTheme="minorHAnsi" w:eastAsiaTheme="minorEastAsia" w:hAnsiTheme="minorHAnsi" w:cstheme="minorBidi"/>
            <w:noProof/>
            <w:szCs w:val="22"/>
            <w:lang w:eastAsia="en-NZ"/>
          </w:rPr>
          <w:tab/>
        </w:r>
        <w:r w:rsidR="009918A6" w:rsidRPr="00834C93">
          <w:rPr>
            <w:rStyle w:val="Hyperlink"/>
            <w:noProof/>
          </w:rPr>
          <w:t>Arranging the audit date</w:t>
        </w:r>
        <w:r w:rsidR="009918A6">
          <w:rPr>
            <w:noProof/>
            <w:webHidden/>
          </w:rPr>
          <w:tab/>
        </w:r>
        <w:r w:rsidR="009918A6">
          <w:rPr>
            <w:noProof/>
            <w:webHidden/>
          </w:rPr>
          <w:fldChar w:fldCharType="begin"/>
        </w:r>
        <w:r w:rsidR="009918A6">
          <w:rPr>
            <w:noProof/>
            <w:webHidden/>
          </w:rPr>
          <w:instrText xml:space="preserve"> PAGEREF _Toc37024339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7ADE8068" w14:textId="2E9FEE18" w:rsidR="009918A6" w:rsidRDefault="00FA26D9">
      <w:pPr>
        <w:pStyle w:val="TOC2"/>
        <w:rPr>
          <w:rFonts w:asciiTheme="minorHAnsi" w:eastAsiaTheme="minorEastAsia" w:hAnsiTheme="minorHAnsi" w:cstheme="minorBidi"/>
          <w:noProof/>
          <w:szCs w:val="22"/>
          <w:lang w:eastAsia="en-NZ"/>
        </w:rPr>
      </w:pPr>
      <w:hyperlink w:anchor="_Toc37024340" w:history="1">
        <w:r w:rsidR="009918A6" w:rsidRPr="00834C93">
          <w:rPr>
            <w:rStyle w:val="Hyperlink"/>
            <w:noProof/>
          </w:rPr>
          <w:t>6.3</w:t>
        </w:r>
        <w:r w:rsidR="009918A6">
          <w:rPr>
            <w:rFonts w:asciiTheme="minorHAnsi" w:eastAsiaTheme="minorEastAsia" w:hAnsiTheme="minorHAnsi" w:cstheme="minorBidi"/>
            <w:noProof/>
            <w:szCs w:val="22"/>
            <w:lang w:eastAsia="en-NZ"/>
          </w:rPr>
          <w:tab/>
        </w:r>
        <w:r w:rsidR="009918A6" w:rsidRPr="00834C93">
          <w:rPr>
            <w:rStyle w:val="Hyperlink"/>
            <w:noProof/>
          </w:rPr>
          <w:t>Carrying out the GMP audit</w:t>
        </w:r>
        <w:r w:rsidR="009918A6">
          <w:rPr>
            <w:noProof/>
            <w:webHidden/>
          </w:rPr>
          <w:tab/>
        </w:r>
        <w:r w:rsidR="009918A6">
          <w:rPr>
            <w:noProof/>
            <w:webHidden/>
          </w:rPr>
          <w:fldChar w:fldCharType="begin"/>
        </w:r>
        <w:r w:rsidR="009918A6">
          <w:rPr>
            <w:noProof/>
            <w:webHidden/>
          </w:rPr>
          <w:instrText xml:space="preserve"> PAGEREF _Toc37024340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44F12186" w14:textId="1FE557EB" w:rsidR="009918A6" w:rsidRDefault="00FA26D9">
      <w:pPr>
        <w:pStyle w:val="TOC2"/>
        <w:rPr>
          <w:rFonts w:asciiTheme="minorHAnsi" w:eastAsiaTheme="minorEastAsia" w:hAnsiTheme="minorHAnsi" w:cstheme="minorBidi"/>
          <w:noProof/>
          <w:szCs w:val="22"/>
          <w:lang w:eastAsia="en-NZ"/>
        </w:rPr>
      </w:pPr>
      <w:hyperlink w:anchor="_Toc37024341" w:history="1">
        <w:r w:rsidR="009918A6" w:rsidRPr="00834C93">
          <w:rPr>
            <w:rStyle w:val="Hyperlink"/>
            <w:noProof/>
          </w:rPr>
          <w:t>6.4</w:t>
        </w:r>
        <w:r w:rsidR="009918A6">
          <w:rPr>
            <w:rFonts w:asciiTheme="minorHAnsi" w:eastAsiaTheme="minorEastAsia" w:hAnsiTheme="minorHAnsi" w:cstheme="minorBidi"/>
            <w:noProof/>
            <w:szCs w:val="22"/>
            <w:lang w:eastAsia="en-NZ"/>
          </w:rPr>
          <w:tab/>
        </w:r>
        <w:r w:rsidR="009918A6" w:rsidRPr="00834C93">
          <w:rPr>
            <w:rStyle w:val="Hyperlink"/>
            <w:noProof/>
          </w:rPr>
          <w:t>Preparing the audit report</w:t>
        </w:r>
        <w:r w:rsidR="009918A6">
          <w:rPr>
            <w:noProof/>
            <w:webHidden/>
          </w:rPr>
          <w:tab/>
        </w:r>
        <w:r w:rsidR="009918A6">
          <w:rPr>
            <w:noProof/>
            <w:webHidden/>
          </w:rPr>
          <w:fldChar w:fldCharType="begin"/>
        </w:r>
        <w:r w:rsidR="009918A6">
          <w:rPr>
            <w:noProof/>
            <w:webHidden/>
          </w:rPr>
          <w:instrText xml:space="preserve"> PAGEREF _Toc37024341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719FE260" w14:textId="60A004D8" w:rsidR="009918A6" w:rsidRDefault="00FA26D9">
      <w:pPr>
        <w:pStyle w:val="TOC2"/>
        <w:rPr>
          <w:rFonts w:asciiTheme="minorHAnsi" w:eastAsiaTheme="minorEastAsia" w:hAnsiTheme="minorHAnsi" w:cstheme="minorBidi"/>
          <w:noProof/>
          <w:szCs w:val="22"/>
          <w:lang w:eastAsia="en-NZ"/>
        </w:rPr>
      </w:pPr>
      <w:hyperlink w:anchor="_Toc37024342" w:history="1">
        <w:r w:rsidR="009918A6" w:rsidRPr="00834C93">
          <w:rPr>
            <w:rStyle w:val="Hyperlink"/>
            <w:noProof/>
          </w:rPr>
          <w:t>6.5</w:t>
        </w:r>
        <w:r w:rsidR="009918A6">
          <w:rPr>
            <w:rFonts w:asciiTheme="minorHAnsi" w:eastAsiaTheme="minorEastAsia" w:hAnsiTheme="minorHAnsi" w:cstheme="minorBidi"/>
            <w:noProof/>
            <w:szCs w:val="22"/>
            <w:lang w:eastAsia="en-NZ"/>
          </w:rPr>
          <w:tab/>
        </w:r>
        <w:r w:rsidR="009918A6" w:rsidRPr="00834C93">
          <w:rPr>
            <w:rStyle w:val="Hyperlink"/>
            <w:noProof/>
          </w:rPr>
          <w:t>Opportunity to respond</w:t>
        </w:r>
        <w:r w:rsidR="009918A6">
          <w:rPr>
            <w:noProof/>
            <w:webHidden/>
          </w:rPr>
          <w:tab/>
        </w:r>
        <w:r w:rsidR="009918A6">
          <w:rPr>
            <w:noProof/>
            <w:webHidden/>
          </w:rPr>
          <w:fldChar w:fldCharType="begin"/>
        </w:r>
        <w:r w:rsidR="009918A6">
          <w:rPr>
            <w:noProof/>
            <w:webHidden/>
          </w:rPr>
          <w:instrText xml:space="preserve"> PAGEREF _Toc37024342 \h </w:instrText>
        </w:r>
        <w:r w:rsidR="009918A6">
          <w:rPr>
            <w:noProof/>
            <w:webHidden/>
          </w:rPr>
        </w:r>
        <w:r w:rsidR="009918A6">
          <w:rPr>
            <w:noProof/>
            <w:webHidden/>
          </w:rPr>
          <w:fldChar w:fldCharType="separate"/>
        </w:r>
        <w:r w:rsidR="0085711A">
          <w:rPr>
            <w:noProof/>
            <w:webHidden/>
          </w:rPr>
          <w:t>11</w:t>
        </w:r>
        <w:r w:rsidR="009918A6">
          <w:rPr>
            <w:noProof/>
            <w:webHidden/>
          </w:rPr>
          <w:fldChar w:fldCharType="end"/>
        </w:r>
      </w:hyperlink>
    </w:p>
    <w:p w14:paraId="1DBC6EC5" w14:textId="2E92572E" w:rsidR="009918A6" w:rsidRDefault="00FA26D9">
      <w:pPr>
        <w:pStyle w:val="TOC2"/>
        <w:rPr>
          <w:rFonts w:asciiTheme="minorHAnsi" w:eastAsiaTheme="minorEastAsia" w:hAnsiTheme="minorHAnsi" w:cstheme="minorBidi"/>
          <w:noProof/>
          <w:szCs w:val="22"/>
          <w:lang w:eastAsia="en-NZ"/>
        </w:rPr>
      </w:pPr>
      <w:hyperlink w:anchor="_Toc37024343" w:history="1">
        <w:r w:rsidR="009918A6" w:rsidRPr="00834C93">
          <w:rPr>
            <w:rStyle w:val="Hyperlink"/>
            <w:noProof/>
          </w:rPr>
          <w:t>6.6</w:t>
        </w:r>
        <w:r w:rsidR="009918A6">
          <w:rPr>
            <w:rFonts w:asciiTheme="minorHAnsi" w:eastAsiaTheme="minorEastAsia" w:hAnsiTheme="minorHAnsi" w:cstheme="minorBidi"/>
            <w:noProof/>
            <w:szCs w:val="22"/>
            <w:lang w:eastAsia="en-NZ"/>
          </w:rPr>
          <w:tab/>
        </w:r>
        <w:r w:rsidR="009918A6" w:rsidRPr="00834C93">
          <w:rPr>
            <w:rStyle w:val="Hyperlink"/>
            <w:noProof/>
          </w:rPr>
          <w:t>Auditor reviews response</w:t>
        </w:r>
        <w:r w:rsidR="009918A6">
          <w:rPr>
            <w:noProof/>
            <w:webHidden/>
          </w:rPr>
          <w:tab/>
        </w:r>
        <w:r w:rsidR="009918A6">
          <w:rPr>
            <w:noProof/>
            <w:webHidden/>
          </w:rPr>
          <w:fldChar w:fldCharType="begin"/>
        </w:r>
        <w:r w:rsidR="009918A6">
          <w:rPr>
            <w:noProof/>
            <w:webHidden/>
          </w:rPr>
          <w:instrText xml:space="preserve"> PAGEREF _Toc37024343 \h </w:instrText>
        </w:r>
        <w:r w:rsidR="009918A6">
          <w:rPr>
            <w:noProof/>
            <w:webHidden/>
          </w:rPr>
        </w:r>
        <w:r w:rsidR="009918A6">
          <w:rPr>
            <w:noProof/>
            <w:webHidden/>
          </w:rPr>
          <w:fldChar w:fldCharType="separate"/>
        </w:r>
        <w:r w:rsidR="0085711A">
          <w:rPr>
            <w:noProof/>
            <w:webHidden/>
          </w:rPr>
          <w:t>12</w:t>
        </w:r>
        <w:r w:rsidR="009918A6">
          <w:rPr>
            <w:noProof/>
            <w:webHidden/>
          </w:rPr>
          <w:fldChar w:fldCharType="end"/>
        </w:r>
      </w:hyperlink>
    </w:p>
    <w:p w14:paraId="60F232A3" w14:textId="63D145D3" w:rsidR="009918A6" w:rsidRDefault="00FA26D9">
      <w:pPr>
        <w:pStyle w:val="TOC2"/>
        <w:rPr>
          <w:rFonts w:asciiTheme="minorHAnsi" w:eastAsiaTheme="minorEastAsia" w:hAnsiTheme="minorHAnsi" w:cstheme="minorBidi"/>
          <w:noProof/>
          <w:szCs w:val="22"/>
          <w:lang w:eastAsia="en-NZ"/>
        </w:rPr>
      </w:pPr>
      <w:hyperlink w:anchor="_Toc37024344" w:history="1">
        <w:r w:rsidR="009918A6" w:rsidRPr="00834C93">
          <w:rPr>
            <w:rStyle w:val="Hyperlink"/>
            <w:noProof/>
          </w:rPr>
          <w:t>6.7</w:t>
        </w:r>
        <w:r w:rsidR="009918A6">
          <w:rPr>
            <w:rFonts w:asciiTheme="minorHAnsi" w:eastAsiaTheme="minorEastAsia" w:hAnsiTheme="minorHAnsi" w:cstheme="minorBidi"/>
            <w:noProof/>
            <w:szCs w:val="22"/>
            <w:lang w:eastAsia="en-NZ"/>
          </w:rPr>
          <w:tab/>
        </w:r>
        <w:r w:rsidR="009918A6" w:rsidRPr="00834C93">
          <w:rPr>
            <w:rStyle w:val="Hyperlink"/>
            <w:noProof/>
          </w:rPr>
          <w:t>Medsafe issues licence</w:t>
        </w:r>
        <w:r w:rsidR="009918A6">
          <w:rPr>
            <w:noProof/>
            <w:webHidden/>
          </w:rPr>
          <w:tab/>
        </w:r>
        <w:r w:rsidR="009918A6">
          <w:rPr>
            <w:noProof/>
            <w:webHidden/>
          </w:rPr>
          <w:fldChar w:fldCharType="begin"/>
        </w:r>
        <w:r w:rsidR="009918A6">
          <w:rPr>
            <w:noProof/>
            <w:webHidden/>
          </w:rPr>
          <w:instrText xml:space="preserve"> PAGEREF _Toc37024344 \h </w:instrText>
        </w:r>
        <w:r w:rsidR="009918A6">
          <w:rPr>
            <w:noProof/>
            <w:webHidden/>
          </w:rPr>
        </w:r>
        <w:r w:rsidR="009918A6">
          <w:rPr>
            <w:noProof/>
            <w:webHidden/>
          </w:rPr>
          <w:fldChar w:fldCharType="separate"/>
        </w:r>
        <w:r w:rsidR="0085711A">
          <w:rPr>
            <w:noProof/>
            <w:webHidden/>
          </w:rPr>
          <w:t>12</w:t>
        </w:r>
        <w:r w:rsidR="009918A6">
          <w:rPr>
            <w:noProof/>
            <w:webHidden/>
          </w:rPr>
          <w:fldChar w:fldCharType="end"/>
        </w:r>
      </w:hyperlink>
    </w:p>
    <w:p w14:paraId="468D8476" w14:textId="6FE42699" w:rsidR="009918A6" w:rsidRDefault="00FA26D9">
      <w:pPr>
        <w:pStyle w:val="TOC1"/>
        <w:rPr>
          <w:rFonts w:asciiTheme="minorHAnsi" w:eastAsiaTheme="minorEastAsia" w:hAnsiTheme="minorHAnsi" w:cstheme="minorBidi"/>
          <w:b w:val="0"/>
          <w:noProof/>
          <w:szCs w:val="22"/>
          <w:lang w:eastAsia="en-NZ"/>
        </w:rPr>
      </w:pPr>
      <w:hyperlink w:anchor="_Toc37024345" w:history="1">
        <w:r w:rsidR="009918A6" w:rsidRPr="00834C93">
          <w:rPr>
            <w:rStyle w:val="Hyperlink"/>
            <w:noProof/>
          </w:rPr>
          <w:t>Section 7: Responsibilities of licence holders</w:t>
        </w:r>
        <w:r w:rsidR="009918A6">
          <w:rPr>
            <w:noProof/>
            <w:webHidden/>
          </w:rPr>
          <w:tab/>
        </w:r>
        <w:r w:rsidR="009918A6">
          <w:rPr>
            <w:noProof/>
            <w:webHidden/>
          </w:rPr>
          <w:fldChar w:fldCharType="begin"/>
        </w:r>
        <w:r w:rsidR="009918A6">
          <w:rPr>
            <w:noProof/>
            <w:webHidden/>
          </w:rPr>
          <w:instrText xml:space="preserve"> PAGEREF _Toc37024345 \h </w:instrText>
        </w:r>
        <w:r w:rsidR="009918A6">
          <w:rPr>
            <w:noProof/>
            <w:webHidden/>
          </w:rPr>
        </w:r>
        <w:r w:rsidR="009918A6">
          <w:rPr>
            <w:noProof/>
            <w:webHidden/>
          </w:rPr>
          <w:fldChar w:fldCharType="separate"/>
        </w:r>
        <w:r w:rsidR="0085711A">
          <w:rPr>
            <w:noProof/>
            <w:webHidden/>
          </w:rPr>
          <w:t>13</w:t>
        </w:r>
        <w:r w:rsidR="009918A6">
          <w:rPr>
            <w:noProof/>
            <w:webHidden/>
          </w:rPr>
          <w:fldChar w:fldCharType="end"/>
        </w:r>
      </w:hyperlink>
    </w:p>
    <w:p w14:paraId="3E1F7643" w14:textId="6BC7971E" w:rsidR="009918A6" w:rsidRDefault="00FA26D9">
      <w:pPr>
        <w:pStyle w:val="TOC2"/>
        <w:rPr>
          <w:rFonts w:asciiTheme="minorHAnsi" w:eastAsiaTheme="minorEastAsia" w:hAnsiTheme="minorHAnsi" w:cstheme="minorBidi"/>
          <w:noProof/>
          <w:szCs w:val="22"/>
          <w:lang w:eastAsia="en-NZ"/>
        </w:rPr>
      </w:pPr>
      <w:hyperlink w:anchor="_Toc37024346" w:history="1">
        <w:r w:rsidR="009918A6" w:rsidRPr="00834C93">
          <w:rPr>
            <w:rStyle w:val="Hyperlink"/>
            <w:noProof/>
          </w:rPr>
          <w:t>7.1</w:t>
        </w:r>
        <w:r w:rsidR="009918A6">
          <w:rPr>
            <w:rFonts w:asciiTheme="minorHAnsi" w:eastAsiaTheme="minorEastAsia" w:hAnsiTheme="minorHAnsi" w:cstheme="minorBidi"/>
            <w:noProof/>
            <w:szCs w:val="22"/>
            <w:lang w:eastAsia="en-NZ"/>
          </w:rPr>
          <w:tab/>
        </w:r>
        <w:r w:rsidR="009918A6" w:rsidRPr="00834C93">
          <w:rPr>
            <w:rStyle w:val="Hyperlink"/>
            <w:noProof/>
          </w:rPr>
          <w:t>Comply with licence conditions</w:t>
        </w:r>
        <w:r w:rsidR="009918A6">
          <w:rPr>
            <w:noProof/>
            <w:webHidden/>
          </w:rPr>
          <w:tab/>
        </w:r>
        <w:r w:rsidR="009918A6">
          <w:rPr>
            <w:noProof/>
            <w:webHidden/>
          </w:rPr>
          <w:fldChar w:fldCharType="begin"/>
        </w:r>
        <w:r w:rsidR="009918A6">
          <w:rPr>
            <w:noProof/>
            <w:webHidden/>
          </w:rPr>
          <w:instrText xml:space="preserve"> PAGEREF _Toc37024346 \h </w:instrText>
        </w:r>
        <w:r w:rsidR="009918A6">
          <w:rPr>
            <w:noProof/>
            <w:webHidden/>
          </w:rPr>
        </w:r>
        <w:r w:rsidR="009918A6">
          <w:rPr>
            <w:noProof/>
            <w:webHidden/>
          </w:rPr>
          <w:fldChar w:fldCharType="separate"/>
        </w:r>
        <w:r w:rsidR="0085711A">
          <w:rPr>
            <w:noProof/>
            <w:webHidden/>
          </w:rPr>
          <w:t>13</w:t>
        </w:r>
        <w:r w:rsidR="009918A6">
          <w:rPr>
            <w:noProof/>
            <w:webHidden/>
          </w:rPr>
          <w:fldChar w:fldCharType="end"/>
        </w:r>
      </w:hyperlink>
    </w:p>
    <w:p w14:paraId="5808C88C" w14:textId="278E41C9" w:rsidR="009918A6" w:rsidRDefault="00FA26D9">
      <w:pPr>
        <w:pStyle w:val="TOC2"/>
        <w:rPr>
          <w:rFonts w:asciiTheme="minorHAnsi" w:eastAsiaTheme="minorEastAsia" w:hAnsiTheme="minorHAnsi" w:cstheme="minorBidi"/>
          <w:noProof/>
          <w:szCs w:val="22"/>
          <w:lang w:eastAsia="en-NZ"/>
        </w:rPr>
      </w:pPr>
      <w:hyperlink w:anchor="_Toc37024347" w:history="1">
        <w:r w:rsidR="009918A6" w:rsidRPr="00834C93">
          <w:rPr>
            <w:rStyle w:val="Hyperlink"/>
            <w:noProof/>
          </w:rPr>
          <w:t>7.2</w:t>
        </w:r>
        <w:r w:rsidR="009918A6">
          <w:rPr>
            <w:rFonts w:asciiTheme="minorHAnsi" w:eastAsiaTheme="minorEastAsia" w:hAnsiTheme="minorHAnsi" w:cstheme="minorBidi"/>
            <w:noProof/>
            <w:szCs w:val="22"/>
            <w:lang w:eastAsia="en-NZ"/>
          </w:rPr>
          <w:tab/>
        </w:r>
        <w:r w:rsidR="009918A6" w:rsidRPr="00834C93">
          <w:rPr>
            <w:rStyle w:val="Hyperlink"/>
            <w:noProof/>
          </w:rPr>
          <w:t>Notify Medsafe of any changes you intend to make</w:t>
        </w:r>
        <w:r w:rsidR="009918A6">
          <w:rPr>
            <w:noProof/>
            <w:webHidden/>
          </w:rPr>
          <w:tab/>
        </w:r>
        <w:r w:rsidR="009918A6">
          <w:rPr>
            <w:noProof/>
            <w:webHidden/>
          </w:rPr>
          <w:fldChar w:fldCharType="begin"/>
        </w:r>
        <w:r w:rsidR="009918A6">
          <w:rPr>
            <w:noProof/>
            <w:webHidden/>
          </w:rPr>
          <w:instrText xml:space="preserve"> PAGEREF _Toc37024347 \h </w:instrText>
        </w:r>
        <w:r w:rsidR="009918A6">
          <w:rPr>
            <w:noProof/>
            <w:webHidden/>
          </w:rPr>
        </w:r>
        <w:r w:rsidR="009918A6">
          <w:rPr>
            <w:noProof/>
            <w:webHidden/>
          </w:rPr>
          <w:fldChar w:fldCharType="separate"/>
        </w:r>
        <w:r w:rsidR="0085711A">
          <w:rPr>
            <w:noProof/>
            <w:webHidden/>
          </w:rPr>
          <w:t>13</w:t>
        </w:r>
        <w:r w:rsidR="009918A6">
          <w:rPr>
            <w:noProof/>
            <w:webHidden/>
          </w:rPr>
          <w:fldChar w:fldCharType="end"/>
        </w:r>
      </w:hyperlink>
    </w:p>
    <w:p w14:paraId="64028563" w14:textId="6A3A3947" w:rsidR="009918A6" w:rsidRDefault="00FA26D9">
      <w:pPr>
        <w:pStyle w:val="TOC2"/>
        <w:rPr>
          <w:rFonts w:asciiTheme="minorHAnsi" w:eastAsiaTheme="minorEastAsia" w:hAnsiTheme="minorHAnsi" w:cstheme="minorBidi"/>
          <w:noProof/>
          <w:szCs w:val="22"/>
          <w:lang w:eastAsia="en-NZ"/>
        </w:rPr>
      </w:pPr>
      <w:hyperlink w:anchor="_Toc37024348" w:history="1">
        <w:r w:rsidR="009918A6" w:rsidRPr="00834C93">
          <w:rPr>
            <w:rStyle w:val="Hyperlink"/>
            <w:noProof/>
          </w:rPr>
          <w:t>7.3</w:t>
        </w:r>
        <w:r w:rsidR="009918A6">
          <w:rPr>
            <w:rFonts w:asciiTheme="minorHAnsi" w:eastAsiaTheme="minorEastAsia" w:hAnsiTheme="minorHAnsi" w:cstheme="minorBidi"/>
            <w:noProof/>
            <w:szCs w:val="22"/>
            <w:lang w:eastAsia="en-NZ"/>
          </w:rPr>
          <w:tab/>
        </w:r>
        <w:r w:rsidR="009918A6" w:rsidRPr="00834C93">
          <w:rPr>
            <w:rStyle w:val="Hyperlink"/>
            <w:noProof/>
          </w:rPr>
          <w:t>Maintain validation of process</w:t>
        </w:r>
        <w:r w:rsidR="009918A6">
          <w:rPr>
            <w:noProof/>
            <w:webHidden/>
          </w:rPr>
          <w:tab/>
        </w:r>
        <w:r w:rsidR="009918A6">
          <w:rPr>
            <w:noProof/>
            <w:webHidden/>
          </w:rPr>
          <w:fldChar w:fldCharType="begin"/>
        </w:r>
        <w:r w:rsidR="009918A6">
          <w:rPr>
            <w:noProof/>
            <w:webHidden/>
          </w:rPr>
          <w:instrText xml:space="preserve"> PAGEREF _Toc37024348 \h </w:instrText>
        </w:r>
        <w:r w:rsidR="009918A6">
          <w:rPr>
            <w:noProof/>
            <w:webHidden/>
          </w:rPr>
        </w:r>
        <w:r w:rsidR="009918A6">
          <w:rPr>
            <w:noProof/>
            <w:webHidden/>
          </w:rPr>
          <w:fldChar w:fldCharType="separate"/>
        </w:r>
        <w:r w:rsidR="0085711A">
          <w:rPr>
            <w:noProof/>
            <w:webHidden/>
          </w:rPr>
          <w:t>13</w:t>
        </w:r>
        <w:r w:rsidR="009918A6">
          <w:rPr>
            <w:noProof/>
            <w:webHidden/>
          </w:rPr>
          <w:fldChar w:fldCharType="end"/>
        </w:r>
      </w:hyperlink>
    </w:p>
    <w:p w14:paraId="4FC421B2" w14:textId="5E70EFB2" w:rsidR="009918A6" w:rsidRDefault="00FA26D9">
      <w:pPr>
        <w:pStyle w:val="TOC2"/>
        <w:rPr>
          <w:rFonts w:asciiTheme="minorHAnsi" w:eastAsiaTheme="minorEastAsia" w:hAnsiTheme="minorHAnsi" w:cstheme="minorBidi"/>
          <w:noProof/>
          <w:szCs w:val="22"/>
          <w:lang w:eastAsia="en-NZ"/>
        </w:rPr>
      </w:pPr>
      <w:hyperlink w:anchor="_Toc37024349" w:history="1">
        <w:r w:rsidR="009918A6" w:rsidRPr="00834C93">
          <w:rPr>
            <w:rStyle w:val="Hyperlink"/>
            <w:noProof/>
          </w:rPr>
          <w:t>7.4</w:t>
        </w:r>
        <w:r w:rsidR="009918A6">
          <w:rPr>
            <w:rFonts w:asciiTheme="minorHAnsi" w:eastAsiaTheme="minorEastAsia" w:hAnsiTheme="minorHAnsi" w:cstheme="minorBidi"/>
            <w:noProof/>
            <w:szCs w:val="22"/>
            <w:lang w:eastAsia="en-NZ"/>
          </w:rPr>
          <w:tab/>
        </w:r>
        <w:r w:rsidR="009918A6" w:rsidRPr="00834C93">
          <w:rPr>
            <w:rStyle w:val="Hyperlink"/>
            <w:noProof/>
          </w:rPr>
          <w:t>Have periodic audits against the GMP Code</w:t>
        </w:r>
        <w:r w:rsidR="009918A6">
          <w:rPr>
            <w:noProof/>
            <w:webHidden/>
          </w:rPr>
          <w:tab/>
        </w:r>
        <w:r w:rsidR="009918A6">
          <w:rPr>
            <w:noProof/>
            <w:webHidden/>
          </w:rPr>
          <w:fldChar w:fldCharType="begin"/>
        </w:r>
        <w:r w:rsidR="009918A6">
          <w:rPr>
            <w:noProof/>
            <w:webHidden/>
          </w:rPr>
          <w:instrText xml:space="preserve"> PAGEREF _Toc37024349 \h </w:instrText>
        </w:r>
        <w:r w:rsidR="009918A6">
          <w:rPr>
            <w:noProof/>
            <w:webHidden/>
          </w:rPr>
        </w:r>
        <w:r w:rsidR="009918A6">
          <w:rPr>
            <w:noProof/>
            <w:webHidden/>
          </w:rPr>
          <w:fldChar w:fldCharType="separate"/>
        </w:r>
        <w:r w:rsidR="0085711A">
          <w:rPr>
            <w:noProof/>
            <w:webHidden/>
          </w:rPr>
          <w:t>13</w:t>
        </w:r>
        <w:r w:rsidR="009918A6">
          <w:rPr>
            <w:noProof/>
            <w:webHidden/>
          </w:rPr>
          <w:fldChar w:fldCharType="end"/>
        </w:r>
      </w:hyperlink>
    </w:p>
    <w:p w14:paraId="5B612B82" w14:textId="21D473E9" w:rsidR="00C86248" w:rsidRDefault="003450E8">
      <w:r>
        <w:rPr>
          <w:b/>
        </w:rPr>
        <w:fldChar w:fldCharType="end"/>
      </w:r>
    </w:p>
    <w:p w14:paraId="39CEF9D6" w14:textId="77777777" w:rsidR="006524E1" w:rsidRDefault="006524E1" w:rsidP="0033448B">
      <w:pPr>
        <w:sectPr w:rsidR="006524E1" w:rsidSect="004E3A1B">
          <w:headerReference w:type="default" r:id="rId12"/>
          <w:footerReference w:type="even" r:id="rId13"/>
          <w:footerReference w:type="default" r:id="rId14"/>
          <w:pgSz w:w="11907" w:h="16834" w:code="9"/>
          <w:pgMar w:top="1418" w:right="1418" w:bottom="1134" w:left="1418" w:header="284" w:footer="425" w:gutter="284"/>
          <w:pgNumType w:fmt="lowerRoman" w:start="1"/>
          <w:cols w:space="720"/>
          <w:docGrid w:linePitch="286"/>
        </w:sectPr>
      </w:pPr>
    </w:p>
    <w:p w14:paraId="545357E3" w14:textId="77777777" w:rsidR="00D371B0" w:rsidRPr="00FA44A6" w:rsidRDefault="00D371B0" w:rsidP="00D371B0">
      <w:pPr>
        <w:pStyle w:val="Heading1"/>
      </w:pPr>
      <w:bookmarkStart w:id="3" w:name="_Introduction"/>
      <w:bookmarkStart w:id="4" w:name="_Toc35751549"/>
      <w:bookmarkStart w:id="5" w:name="_Ref36472669"/>
      <w:bookmarkStart w:id="6" w:name="_Toc37024321"/>
      <w:bookmarkStart w:id="7" w:name="_Hlk24970349"/>
      <w:bookmarkEnd w:id="3"/>
      <w:r w:rsidRPr="00FA44A6">
        <w:lastRenderedPageBreak/>
        <w:t>Introduction</w:t>
      </w:r>
      <w:bookmarkEnd w:id="4"/>
      <w:bookmarkEnd w:id="5"/>
      <w:bookmarkEnd w:id="6"/>
    </w:p>
    <w:bookmarkEnd w:id="7"/>
    <w:p w14:paraId="1C5F94CE" w14:textId="77777777" w:rsidR="00F7308E" w:rsidRPr="005035FF" w:rsidRDefault="00F7308E" w:rsidP="008B5640">
      <w:r w:rsidRPr="005035FF">
        <w:t xml:space="preserve">This guidance document is </w:t>
      </w:r>
      <w:r w:rsidRPr="00547D8A">
        <w:rPr>
          <w:b/>
        </w:rPr>
        <w:t xml:space="preserve">Part 2: Information for </w:t>
      </w:r>
      <w:r>
        <w:rPr>
          <w:b/>
        </w:rPr>
        <w:t xml:space="preserve">New Zealand </w:t>
      </w:r>
      <w:r w:rsidRPr="00547D8A">
        <w:rPr>
          <w:b/>
        </w:rPr>
        <w:t>Manufacturers and Packers</w:t>
      </w:r>
      <w:r w:rsidRPr="005035FF">
        <w:t xml:space="preserve"> of the </w:t>
      </w:r>
      <w:r w:rsidRPr="005035FF">
        <w:rPr>
          <w:i/>
        </w:rPr>
        <w:t>Guideline on the Regulation of Medicinal Cannabis in New Zealand</w:t>
      </w:r>
      <w:r w:rsidRPr="005035FF">
        <w:t>.</w:t>
      </w:r>
    </w:p>
    <w:p w14:paraId="19DC678C" w14:textId="0408B047" w:rsidR="00F7308E" w:rsidRPr="005035FF" w:rsidRDefault="00F7308E" w:rsidP="008B5640">
      <w:r w:rsidRPr="005035FF">
        <w:t xml:space="preserve">Here we provide prospective manufacturers and packers of medicinal cannabis products </w:t>
      </w:r>
      <w:r w:rsidR="005E522D">
        <w:t>(as per the definition</w:t>
      </w:r>
      <w:r w:rsidR="00F420B1">
        <w:t xml:space="preserve"> of a medicinal cannabis product</w:t>
      </w:r>
      <w:r w:rsidR="005E522D">
        <w:t xml:space="preserve"> set out in the Misuse of Drugs (Medicinal Cannabis) Regulations 2019) </w:t>
      </w:r>
      <w:r w:rsidRPr="005035FF">
        <w:t>with relevant information about:</w:t>
      </w:r>
    </w:p>
    <w:p w14:paraId="377D2EFE" w14:textId="77777777" w:rsidR="00F7308E" w:rsidRPr="005035FF" w:rsidRDefault="00F7308E" w:rsidP="008B5640">
      <w:pPr>
        <w:pStyle w:val="Bullet"/>
      </w:pPr>
      <w:r w:rsidRPr="005035FF">
        <w:t>the Licence to Manufacture Medicines and the Licence to Pack Medicines under the Medicines Act 1981</w:t>
      </w:r>
    </w:p>
    <w:p w14:paraId="5880848A" w14:textId="77777777" w:rsidR="00F7308E" w:rsidRPr="005035FF" w:rsidRDefault="00F7308E" w:rsidP="008B5640">
      <w:pPr>
        <w:pStyle w:val="Bullet"/>
      </w:pPr>
      <w:r w:rsidRPr="005035FF">
        <w:t>how to comply with the New Zealand Code of Good Manufacturing Practice for Manufacture and Dis</w:t>
      </w:r>
      <w:r w:rsidR="008B5640">
        <w:t>tribution of Therapeutic Goods.</w:t>
      </w:r>
    </w:p>
    <w:p w14:paraId="556979CC" w14:textId="77777777" w:rsidR="00F7308E" w:rsidRPr="005035FF" w:rsidRDefault="00F7308E" w:rsidP="008B5640">
      <w:r w:rsidRPr="005035FF">
        <w:t xml:space="preserve">We recommend you read Parts 1 to 5 of the Guideline in full. For detailed information about how to apply for a Medicinal Cannabis Licence, see </w:t>
      </w:r>
      <w:r w:rsidRPr="004B742A">
        <w:rPr>
          <w:b/>
        </w:rPr>
        <w:t>Part 4: Guidance for Applicants for a Medicinal Cannabi</w:t>
      </w:r>
      <w:r w:rsidRPr="005035FF">
        <w:rPr>
          <w:b/>
        </w:rPr>
        <w:t>s</w:t>
      </w:r>
      <w:r w:rsidRPr="004B742A">
        <w:rPr>
          <w:b/>
        </w:rPr>
        <w:t xml:space="preserve"> Licence</w:t>
      </w:r>
      <w:r w:rsidRPr="005035FF">
        <w:t xml:space="preserve"> of the </w:t>
      </w:r>
      <w:r w:rsidRPr="005035FF">
        <w:rPr>
          <w:i/>
        </w:rPr>
        <w:t>Guideline on the Regulation of Medicinal Cannabis in New Zealand</w:t>
      </w:r>
      <w:r w:rsidRPr="005035FF">
        <w:t>.</w:t>
      </w:r>
    </w:p>
    <w:p w14:paraId="4A7274E1" w14:textId="77777777" w:rsidR="00F7308E" w:rsidRPr="005035FF" w:rsidRDefault="00F7308E" w:rsidP="00F7308E">
      <w:pPr>
        <w:pStyle w:val="Heading1"/>
      </w:pPr>
      <w:bookmarkStart w:id="8" w:name="_Toc36535162"/>
      <w:bookmarkStart w:id="9" w:name="_Toc37024322"/>
      <w:r w:rsidRPr="005035FF">
        <w:lastRenderedPageBreak/>
        <w:t>Background on regulatory settings</w:t>
      </w:r>
      <w:bookmarkEnd w:id="8"/>
      <w:bookmarkEnd w:id="9"/>
    </w:p>
    <w:p w14:paraId="23FAB98D" w14:textId="77777777" w:rsidR="00F7308E" w:rsidRPr="005035FF" w:rsidRDefault="00F7308E" w:rsidP="00F7308E">
      <w:pPr>
        <w:pStyle w:val="Heading2"/>
      </w:pPr>
      <w:bookmarkStart w:id="10" w:name="_Toc36535163"/>
      <w:bookmarkStart w:id="11" w:name="_Toc37024323"/>
      <w:r w:rsidRPr="005035FF">
        <w:t>Medicinal Cannabis Licence</w:t>
      </w:r>
      <w:bookmarkEnd w:id="10"/>
      <w:bookmarkEnd w:id="11"/>
    </w:p>
    <w:p w14:paraId="64AD1995" w14:textId="3DAD0C3D" w:rsidR="00F7308E" w:rsidRPr="005035FF" w:rsidRDefault="00F7308E" w:rsidP="008B5640">
      <w:r w:rsidRPr="005035FF">
        <w:t xml:space="preserve">A </w:t>
      </w:r>
      <w:r w:rsidRPr="005035FF">
        <w:rPr>
          <w:b/>
        </w:rPr>
        <w:t>Medicinal Cannabis Licence</w:t>
      </w:r>
      <w:r w:rsidRPr="005035FF">
        <w:t xml:space="preserve"> authorises the licence holder to carry out one or more types of </w:t>
      </w:r>
      <w:r w:rsidR="00606CDC">
        <w:t>‘</w:t>
      </w:r>
      <w:r w:rsidRPr="005035FF">
        <w:t>activity</w:t>
      </w:r>
      <w:r w:rsidR="00606CDC">
        <w:t>’</w:t>
      </w:r>
      <w:r w:rsidRPr="005035FF">
        <w:t xml:space="preserve">. The </w:t>
      </w:r>
      <w:r w:rsidR="00606CDC">
        <w:t>‘</w:t>
      </w:r>
      <w:r w:rsidRPr="005035FF">
        <w:t>possession for manufacture</w:t>
      </w:r>
      <w:r w:rsidR="00606CDC">
        <w:t>’</w:t>
      </w:r>
      <w:r w:rsidRPr="005035FF">
        <w:t xml:space="preserve"> activity must be specified on the licence if the holder intends to extract a cannabis-based ingredient, manufacture a medicinal cannabis </w:t>
      </w:r>
      <w:r w:rsidR="00D27F5A" w:rsidRPr="005035FF">
        <w:t>product,</w:t>
      </w:r>
      <w:r w:rsidR="00D27F5A">
        <w:t xml:space="preserve"> </w:t>
      </w:r>
      <w:r w:rsidRPr="005035FF">
        <w:t>or perform laboratory testing.</w:t>
      </w:r>
    </w:p>
    <w:p w14:paraId="5FBB4E48" w14:textId="77777777" w:rsidR="00F7308E" w:rsidRPr="008B5640" w:rsidRDefault="00F7308E" w:rsidP="008B5640">
      <w:r w:rsidRPr="005035FF">
        <w:t xml:space="preserve">Refer to </w:t>
      </w:r>
      <w:r w:rsidRPr="004B742A">
        <w:rPr>
          <w:b/>
        </w:rPr>
        <w:t>Part 4</w:t>
      </w:r>
      <w:r w:rsidRPr="005035FF">
        <w:rPr>
          <w:b/>
        </w:rPr>
        <w:t>: Guidance for Applicants for a Medicinal Cannabis Licence</w:t>
      </w:r>
      <w:r w:rsidRPr="005035FF">
        <w:t xml:space="preserve"> of the </w:t>
      </w:r>
      <w:r w:rsidRPr="005035FF">
        <w:rPr>
          <w:i/>
        </w:rPr>
        <w:t xml:space="preserve">Guideline on the Regulation of Medicinal Cannabis in New Zealand </w:t>
      </w:r>
      <w:r w:rsidRPr="005035FF">
        <w:t>for information about Medicinal Cannabis Licences.</w:t>
      </w:r>
    </w:p>
    <w:p w14:paraId="2FB7023D" w14:textId="77777777" w:rsidR="00F7308E" w:rsidRPr="005035FF" w:rsidRDefault="00F7308E" w:rsidP="00F7308E">
      <w:pPr>
        <w:pStyle w:val="Heading2"/>
      </w:pPr>
      <w:bookmarkStart w:id="12" w:name="_Toc36535164"/>
      <w:bookmarkStart w:id="13" w:name="_Toc37024324"/>
      <w:r w:rsidRPr="005035FF">
        <w:t>Minimum quality standard for medicinal cannabis products</w:t>
      </w:r>
      <w:bookmarkEnd w:id="12"/>
      <w:bookmarkEnd w:id="13"/>
    </w:p>
    <w:p w14:paraId="1ADDAF16" w14:textId="77777777" w:rsidR="00F7308E" w:rsidRPr="005035FF" w:rsidRDefault="00F7308E" w:rsidP="008B5640">
      <w:r w:rsidRPr="005035FF">
        <w:t>All medicinal cannabis products intended for use by patients (including cannabidiol (CBD) products) must meet the minimum quality standard for medicinal cannabis. Product assessments are the method used to verify whether a product meets the minimum quality standard.</w:t>
      </w:r>
    </w:p>
    <w:p w14:paraId="45929910" w14:textId="77777777" w:rsidR="00F7308E" w:rsidRPr="005035FF" w:rsidRDefault="00F7308E" w:rsidP="008B5640">
      <w:pPr>
        <w:rPr>
          <w:rFonts w:cs="Arial"/>
        </w:rPr>
      </w:pPr>
      <w:r w:rsidRPr="005035FF">
        <w:rPr>
          <w:rFonts w:cs="Arial"/>
        </w:rPr>
        <w:t xml:space="preserve">For information about the minimum quality standard and product assessments, go to: </w:t>
      </w:r>
      <w:r>
        <w:rPr>
          <w:rFonts w:cs="Arial"/>
        </w:rPr>
        <w:t xml:space="preserve">the </w:t>
      </w:r>
      <w:hyperlink r:id="rId15" w:history="1">
        <w:r>
          <w:rPr>
            <w:rStyle w:val="Hyperlink"/>
            <w:rFonts w:cs="Arial"/>
          </w:rPr>
          <w:t>minimum quality standard</w:t>
        </w:r>
      </w:hyperlink>
      <w:r>
        <w:rPr>
          <w:rFonts w:cs="Arial"/>
        </w:rPr>
        <w:t xml:space="preserve"> page on the Medicinal Cannabis website</w:t>
      </w:r>
      <w:r w:rsidRPr="005035FF">
        <w:rPr>
          <w:rFonts w:cs="Arial"/>
        </w:rPr>
        <w:t>.</w:t>
      </w:r>
    </w:p>
    <w:p w14:paraId="2406CBE3" w14:textId="77777777" w:rsidR="00F7308E" w:rsidRPr="005035FF" w:rsidRDefault="00F7308E" w:rsidP="00F7308E">
      <w:pPr>
        <w:pStyle w:val="Heading2"/>
      </w:pPr>
      <w:bookmarkStart w:id="14" w:name="_Toc36535165"/>
      <w:bookmarkStart w:id="15" w:name="_Toc37024325"/>
      <w:r w:rsidRPr="005035FF">
        <w:t>Licences issued under the Medicines Act 1981</w:t>
      </w:r>
      <w:bookmarkEnd w:id="14"/>
      <w:bookmarkEnd w:id="15"/>
    </w:p>
    <w:p w14:paraId="33C88B79" w14:textId="77777777" w:rsidR="00F7308E" w:rsidRPr="005035FF" w:rsidRDefault="00F7308E" w:rsidP="008B5640">
      <w:r w:rsidRPr="005035FF">
        <w:t xml:space="preserve">If you hold a Medicinal Cannabis Licence and wish to manufacture a medicinal cannabis product for patients to use, you will also need to hold a </w:t>
      </w:r>
      <w:r w:rsidRPr="005035FF">
        <w:rPr>
          <w:b/>
        </w:rPr>
        <w:t>Licence to Manufacture Medicines</w:t>
      </w:r>
      <w:r w:rsidRPr="005035FF">
        <w:t xml:space="preserve"> issued under the Medicines Act 1981. This licence permits the holder to manufacture, test, </w:t>
      </w:r>
      <w:proofErr w:type="gramStart"/>
      <w:r w:rsidRPr="005035FF">
        <w:t>pack</w:t>
      </w:r>
      <w:proofErr w:type="gramEnd"/>
      <w:r w:rsidRPr="005035FF">
        <w:t xml:space="preserve"> and label medicines.</w:t>
      </w:r>
    </w:p>
    <w:p w14:paraId="2F9B69CA" w14:textId="486B6A09" w:rsidR="00F7308E" w:rsidRDefault="00F7308E" w:rsidP="008B5640">
      <w:r w:rsidRPr="005035FF">
        <w:t xml:space="preserve">If you hold a Medicinal Cannabis Licence but your manufacturing activities are limited to repacking products that a </w:t>
      </w:r>
      <w:r w:rsidR="00EA6AC2">
        <w:t xml:space="preserve">GMP certified </w:t>
      </w:r>
      <w:r w:rsidRPr="005035FF">
        <w:t xml:space="preserve">facility has manufactured and that have </w:t>
      </w:r>
      <w:r w:rsidR="00DF232E" w:rsidRPr="005035FF">
        <w:t xml:space="preserve">been </w:t>
      </w:r>
      <w:r w:rsidR="00DF232E">
        <w:t>verified</w:t>
      </w:r>
      <w:r w:rsidRPr="005035FF">
        <w:t xml:space="preserve"> as meeting the medicinal cannabis minimum quality standard, you need a </w:t>
      </w:r>
      <w:r w:rsidRPr="005035FF">
        <w:rPr>
          <w:b/>
        </w:rPr>
        <w:t>Licence to Pack Medicines</w:t>
      </w:r>
      <w:r w:rsidRPr="005035FF">
        <w:t xml:space="preserve"> under the Medicines Act 1981 instead of a Licence to Manufacture Medicines. This licence permits the holder to pack and label medicines only.</w:t>
      </w:r>
    </w:p>
    <w:p w14:paraId="56A6D89F" w14:textId="7F39F686" w:rsidR="00D27F5A" w:rsidRPr="005035FF" w:rsidRDefault="002E7563" w:rsidP="008B5640">
      <w:r>
        <w:t>When you have s</w:t>
      </w:r>
      <w:r w:rsidR="00D27F5A">
        <w:t>tarting material</w:t>
      </w:r>
      <w:r>
        <w:t>s</w:t>
      </w:r>
      <w:r w:rsidR="00D27F5A">
        <w:t xml:space="preserve"> for export</w:t>
      </w:r>
      <w:r>
        <w:t>,</w:t>
      </w:r>
      <w:r w:rsidR="00DF232E">
        <w:t xml:space="preserve"> that require further industrial processing,</w:t>
      </w:r>
      <w:r>
        <w:t xml:space="preserve"> you do not need to comply with the requirements of GMP</w:t>
      </w:r>
      <w:r w:rsidR="00D27F5A">
        <w:t xml:space="preserve">. Neither a Licence to Manufacture Medicine nor a Licence to Pack Medicine would be required in this instance. </w:t>
      </w:r>
      <w:r w:rsidR="00BD59EB">
        <w:t xml:space="preserve">Alternatively, if your starting material for export is supplied as bulk or </w:t>
      </w:r>
      <w:r w:rsidR="0027275C">
        <w:t xml:space="preserve">as a </w:t>
      </w:r>
      <w:r w:rsidR="00BD59EB">
        <w:t xml:space="preserve">finished packed product then you </w:t>
      </w:r>
      <w:r w:rsidR="0027275C">
        <w:t>would</w:t>
      </w:r>
      <w:r w:rsidR="00BD59EB">
        <w:t xml:space="preserve"> need to comply with the requirements of GMP and a Licence to Manufacture or Licence to Pack will be required. </w:t>
      </w:r>
    </w:p>
    <w:p w14:paraId="78363323" w14:textId="77777777" w:rsidR="00F7308E" w:rsidRPr="005035FF" w:rsidRDefault="00F7308E" w:rsidP="008B5640">
      <w:pPr>
        <w:keepLines/>
      </w:pPr>
      <w:r w:rsidRPr="005035FF">
        <w:lastRenderedPageBreak/>
        <w:t xml:space="preserve">To obtain a Licence to Manufacture Medicines or a Licence to Pack Medicines, you must be able to demonstrate that you comply with the </w:t>
      </w:r>
      <w:hyperlink r:id="rId16" w:history="1">
        <w:r w:rsidRPr="005035FF">
          <w:rPr>
            <w:rStyle w:val="Hyperlink"/>
            <w:rFonts w:cs="Arial"/>
          </w:rPr>
          <w:t>New Zealand Code of Good Manufacturing Practice for Manufacture and Distribution of Therapeutic Goods</w:t>
        </w:r>
      </w:hyperlink>
      <w:r w:rsidR="008B5640">
        <w:t xml:space="preserve"> (the GMP Code).</w:t>
      </w:r>
    </w:p>
    <w:p w14:paraId="5254ADDD" w14:textId="6B2F74C6" w:rsidR="00F7308E" w:rsidRPr="005035FF" w:rsidRDefault="00F7308E" w:rsidP="008B5640">
      <w:r w:rsidRPr="005035FF">
        <w:t xml:space="preserve">For more information about licences to manufacture and/or pack medicines, </w:t>
      </w:r>
      <w:r w:rsidR="00DF232E">
        <w:t xml:space="preserve">contact </w:t>
      </w:r>
      <w:r w:rsidR="00BD59EB">
        <w:t xml:space="preserve">the </w:t>
      </w:r>
      <w:proofErr w:type="spellStart"/>
      <w:r w:rsidR="00DF232E">
        <w:t>Medsafe’s</w:t>
      </w:r>
      <w:proofErr w:type="spellEnd"/>
      <w:r w:rsidR="00DF232E">
        <w:t xml:space="preserve"> Compliance Branch </w:t>
      </w:r>
      <w:r w:rsidR="00BD59EB">
        <w:t>by sending an email to the</w:t>
      </w:r>
      <w:r w:rsidR="00DF232E">
        <w:t xml:space="preserve"> </w:t>
      </w:r>
      <w:hyperlink r:id="rId17" w:history="1">
        <w:r w:rsidR="00DF232E" w:rsidRPr="00016F1B">
          <w:rPr>
            <w:rStyle w:val="Hyperlink"/>
          </w:rPr>
          <w:t>gmp@health.govt.nz</w:t>
        </w:r>
      </w:hyperlink>
      <w:r w:rsidR="00DF232E">
        <w:t xml:space="preserve"> </w:t>
      </w:r>
      <w:r w:rsidR="00BD59EB">
        <w:t>inbox</w:t>
      </w:r>
      <w:r>
        <w:t>.</w:t>
      </w:r>
      <w:r w:rsidR="006F7BA5">
        <w:t xml:space="preserve"> Fees for Licenses are included in the </w:t>
      </w:r>
      <w:hyperlink r:id="rId18" w:history="1">
        <w:r w:rsidR="006F7BA5" w:rsidRPr="006F7BA5">
          <w:rPr>
            <w:rStyle w:val="Hyperlink"/>
          </w:rPr>
          <w:t>schedule of fees payable under the Medicines Act 1981</w:t>
        </w:r>
      </w:hyperlink>
      <w:r w:rsidR="006F7BA5">
        <w:t>.</w:t>
      </w:r>
    </w:p>
    <w:p w14:paraId="159EE3B6" w14:textId="77777777" w:rsidR="00F7308E" w:rsidRPr="005035FF" w:rsidRDefault="008B5640" w:rsidP="00F7308E">
      <w:pPr>
        <w:pStyle w:val="Heading2"/>
      </w:pPr>
      <w:bookmarkStart w:id="16" w:name="_Toc36535166"/>
      <w:bookmarkStart w:id="17" w:name="_Toc37024326"/>
      <w:bookmarkStart w:id="18" w:name="_Hlk31284887"/>
      <w:r>
        <w:t>L</w:t>
      </w:r>
      <w:r w:rsidR="00F7308E" w:rsidRPr="005035FF">
        <w:t>icence to import or export controlled drugs</w:t>
      </w:r>
      <w:bookmarkEnd w:id="16"/>
      <w:bookmarkEnd w:id="17"/>
    </w:p>
    <w:p w14:paraId="0B926A3A" w14:textId="77777777" w:rsidR="00F7308E" w:rsidRPr="005035FF" w:rsidRDefault="00F7308E" w:rsidP="008B5640">
      <w:r w:rsidRPr="005035FF">
        <w:t xml:space="preserve">You must have a licence to commercially import or </w:t>
      </w:r>
      <w:proofErr w:type="gramStart"/>
      <w:r w:rsidRPr="005035FF">
        <w:t>export controlled</w:t>
      </w:r>
      <w:proofErr w:type="gramEnd"/>
      <w:r w:rsidRPr="005035FF">
        <w:t xml:space="preserve"> drugs, including medicinal cannabis products.</w:t>
      </w:r>
    </w:p>
    <w:p w14:paraId="0B01F3E3" w14:textId="77777777" w:rsidR="00F7308E" w:rsidRPr="005035FF" w:rsidRDefault="00F7308E" w:rsidP="008B5640">
      <w:r w:rsidRPr="005035FF">
        <w:t xml:space="preserve">For exports, the importing country must provide a </w:t>
      </w:r>
      <w:r w:rsidR="00606CDC">
        <w:t>‘</w:t>
      </w:r>
      <w:r w:rsidRPr="005035FF">
        <w:t>licence to import</w:t>
      </w:r>
      <w:r w:rsidR="00606CDC">
        <w:t>’</w:t>
      </w:r>
      <w:r w:rsidRPr="005035FF">
        <w:t xml:space="preserve"> before</w:t>
      </w:r>
      <w:r>
        <w:t xml:space="preserve"> Medicines Control</w:t>
      </w:r>
      <w:r w:rsidRPr="005035FF">
        <w:t xml:space="preserve"> can issue a licence to export controlled drugs.</w:t>
      </w:r>
    </w:p>
    <w:p w14:paraId="64F60382" w14:textId="77777777" w:rsidR="00F7308E" w:rsidRPr="005035FF" w:rsidRDefault="00F7308E" w:rsidP="008B5640">
      <w:r w:rsidRPr="005035FF">
        <w:t>The application fee for a licence to import or export controlled drugs is $194.22 including goods and services tax (GST) for each consignment. A licence is required for each consignment, but each consignment may contain up to four preparations or products.</w:t>
      </w:r>
    </w:p>
    <w:p w14:paraId="4CF18D55" w14:textId="2B7B568B" w:rsidR="00F7308E" w:rsidRDefault="00F7308E" w:rsidP="008B5640">
      <w:r w:rsidRPr="005035FF">
        <w:t>Up to 30 working days is required to process an application for an import or export licence.</w:t>
      </w:r>
    </w:p>
    <w:p w14:paraId="69C7E06D" w14:textId="77777777" w:rsidR="00F7308E" w:rsidRPr="005035FF" w:rsidRDefault="00F7308E" w:rsidP="008B5640">
      <w:r w:rsidRPr="005035FF">
        <w:t>For further information or to receive an application form for a licence to import or export controlled drugs, contact the Advisor (Controlled Drugs), Medicines Control, on 04</w:t>
      </w:r>
      <w:r w:rsidR="008B5640">
        <w:t> </w:t>
      </w:r>
      <w:r w:rsidRPr="005035FF">
        <w:t>816</w:t>
      </w:r>
      <w:r w:rsidR="008B5640">
        <w:t> </w:t>
      </w:r>
      <w:r w:rsidRPr="005035FF">
        <w:t xml:space="preserve">2018 or at </w:t>
      </w:r>
      <w:hyperlink r:id="rId19" w:history="1">
        <w:r w:rsidRPr="005035FF">
          <w:rPr>
            <w:rStyle w:val="Hyperlink"/>
            <w:rFonts w:cs="Arial"/>
          </w:rPr>
          <w:t>medicinescontrol@health.govt.nz</w:t>
        </w:r>
      </w:hyperlink>
      <w:r>
        <w:rPr>
          <w:rStyle w:val="Hyperlink"/>
          <w:rFonts w:cs="Arial"/>
        </w:rPr>
        <w:t>.</w:t>
      </w:r>
    </w:p>
    <w:p w14:paraId="33F99AAD" w14:textId="77777777" w:rsidR="00F7308E" w:rsidRPr="005035FF" w:rsidRDefault="00F7308E" w:rsidP="008B5640">
      <w:r w:rsidRPr="005035FF">
        <w:rPr>
          <w:b/>
        </w:rPr>
        <w:t>Note</w:t>
      </w:r>
      <w:r w:rsidRPr="005035FF">
        <w:t xml:space="preserve">: Import and export licences are not required for cannabis-based ingredients and medicinal cannabis products (dosage products) that meet the definition of a CBD product. However, requirements under the Medicines Act 1981 and Medicines Regulations 1984 continue to apply </w:t>
      </w:r>
      <w:r>
        <w:t xml:space="preserve">refer to </w:t>
      </w:r>
      <w:hyperlink r:id="rId20" w:history="1">
        <w:r>
          <w:rPr>
            <w:rStyle w:val="Hyperlink"/>
            <w:rFonts w:cs="Arial"/>
          </w:rPr>
          <w:t>CBD product</w:t>
        </w:r>
      </w:hyperlink>
      <w:r>
        <w:t xml:space="preserve"> information on Medicinal Cannabis Agency website</w:t>
      </w:r>
      <w:r w:rsidRPr="005035FF">
        <w:t>.</w:t>
      </w:r>
    </w:p>
    <w:p w14:paraId="09AFB9F7" w14:textId="77777777" w:rsidR="00F7308E" w:rsidRPr="005035FF" w:rsidRDefault="00F7308E" w:rsidP="008B5640">
      <w:pPr>
        <w:pStyle w:val="Heading1"/>
      </w:pPr>
      <w:bookmarkStart w:id="19" w:name="Section_2:__Mandatory_labelling_requirem"/>
      <w:bookmarkStart w:id="20" w:name="_Section_2:_What"/>
      <w:bookmarkStart w:id="21" w:name="_Toc36535167"/>
      <w:bookmarkStart w:id="22" w:name="_Toc37024327"/>
      <w:bookmarkEnd w:id="18"/>
      <w:bookmarkEnd w:id="19"/>
      <w:bookmarkEnd w:id="20"/>
      <w:r w:rsidRPr="005035FF">
        <w:lastRenderedPageBreak/>
        <w:t>Good Manufacturing Practice – complying with the GMP Code</w:t>
      </w:r>
      <w:bookmarkEnd w:id="21"/>
      <w:bookmarkEnd w:id="22"/>
    </w:p>
    <w:p w14:paraId="357DE769" w14:textId="4ED38D60" w:rsidR="00F7308E" w:rsidRPr="005035FF" w:rsidRDefault="00F7308E" w:rsidP="008B5640">
      <w:bookmarkStart w:id="23" w:name="_Toc25838303"/>
      <w:r w:rsidRPr="005035FF">
        <w:t xml:space="preserve">To obtain a Licence to Manufacture Medicines and/or a Licence to Pack Medicines under the Medicines Act 1981, you must demonstrate that you comply with the GMP Code. An auditor will </w:t>
      </w:r>
      <w:r w:rsidR="00E06BD5">
        <w:t xml:space="preserve">conduct a GMP audit of the facility and </w:t>
      </w:r>
      <w:r w:rsidRPr="005035FF">
        <w:t>d</w:t>
      </w:r>
      <w:r>
        <w:t>etermine</w:t>
      </w:r>
      <w:r w:rsidRPr="005035FF">
        <w:t xml:space="preserve"> whether you comply, as part of the licence assessment.</w:t>
      </w:r>
    </w:p>
    <w:p w14:paraId="3A238734" w14:textId="77777777" w:rsidR="00F7308E" w:rsidRPr="005035FF" w:rsidRDefault="00F7308E" w:rsidP="008B5640">
      <w:pPr>
        <w:pStyle w:val="Heading2"/>
      </w:pPr>
      <w:bookmarkStart w:id="24" w:name="_Toc36535168"/>
      <w:bookmarkStart w:id="25" w:name="_Toc37024328"/>
      <w:r>
        <w:t>T</w:t>
      </w:r>
      <w:r w:rsidRPr="005035FF">
        <w:t>he GMP Code</w:t>
      </w:r>
      <w:bookmarkEnd w:id="23"/>
      <w:bookmarkEnd w:id="24"/>
      <w:bookmarkEnd w:id="25"/>
    </w:p>
    <w:p w14:paraId="0006AA7D" w14:textId="77777777" w:rsidR="00F7308E" w:rsidRPr="008B5640" w:rsidRDefault="00F7308E" w:rsidP="008B5640">
      <w:r w:rsidRPr="005035FF">
        <w:t>The GMP Code consists of:</w:t>
      </w:r>
    </w:p>
    <w:p w14:paraId="1AC733A9" w14:textId="51199B58" w:rsidR="00F7308E" w:rsidRPr="005035FF" w:rsidRDefault="00F7308E" w:rsidP="008B5640">
      <w:pPr>
        <w:pStyle w:val="Bullet"/>
      </w:pPr>
      <w:r w:rsidRPr="005035FF">
        <w:t>PE 009-</w:t>
      </w:r>
      <w:r w:rsidR="002E7563">
        <w:t>14</w:t>
      </w:r>
      <w:r w:rsidRPr="005035FF">
        <w:t xml:space="preserve"> (Part I) PIC/S GMP Guide (Part I: Basic Requirements for Medicinal Products)</w:t>
      </w:r>
    </w:p>
    <w:p w14:paraId="6715A15A" w14:textId="5E695B47" w:rsidR="00F7308E" w:rsidRPr="005035FF" w:rsidRDefault="00F7308E" w:rsidP="008B5640">
      <w:pPr>
        <w:pStyle w:val="Bullet"/>
      </w:pPr>
      <w:r w:rsidRPr="005035FF">
        <w:t>PE 009-</w:t>
      </w:r>
      <w:r w:rsidR="002E7563">
        <w:t>14</w:t>
      </w:r>
      <w:r w:rsidRPr="005035FF">
        <w:t xml:space="preserve"> (Part II) PIC/S GMP Guide (Part II: Basic requirements for active pharmaceutical ingredients)</w:t>
      </w:r>
    </w:p>
    <w:p w14:paraId="43DBE1B2" w14:textId="0ADFAA9B" w:rsidR="00F7308E" w:rsidRPr="005035FF" w:rsidRDefault="00F7308E" w:rsidP="008B5640">
      <w:pPr>
        <w:pStyle w:val="Bullet"/>
      </w:pPr>
      <w:r w:rsidRPr="005035FF">
        <w:t>PE 009-</w:t>
      </w:r>
      <w:r w:rsidR="002E7563">
        <w:t>14</w:t>
      </w:r>
      <w:r w:rsidRPr="005035FF">
        <w:t xml:space="preserve"> (Annexes).</w:t>
      </w:r>
    </w:p>
    <w:p w14:paraId="656E47FF" w14:textId="41A0C0CB" w:rsidR="00F7308E" w:rsidRPr="005035FF" w:rsidRDefault="00F7308E" w:rsidP="008B5640">
      <w:r w:rsidRPr="005035FF">
        <w:t>PE 009-</w:t>
      </w:r>
      <w:r w:rsidR="002E7563">
        <w:t>14</w:t>
      </w:r>
      <w:r w:rsidRPr="005035FF">
        <w:t xml:space="preserve"> (Part I) PIC/S GMP Guide (Part I: Basic Requirements for Medicinal Products) provides guidance on manufacturing and packing finished medicinal cannabis products.</w:t>
      </w:r>
    </w:p>
    <w:p w14:paraId="52CCF5C6" w14:textId="4F110655" w:rsidR="00F7308E" w:rsidRPr="005035FF" w:rsidRDefault="00F7308E" w:rsidP="008B5640">
      <w:r w:rsidRPr="005035FF">
        <w:t>PE 009-</w:t>
      </w:r>
      <w:r w:rsidR="002E7563">
        <w:t>14</w:t>
      </w:r>
      <w:r w:rsidRPr="005035FF">
        <w:t xml:space="preserve"> (Part II) PIC/S GMP Guide (Part II: Basic requirements for active pharmaceutical ingredients) provides guidance on manufacturing </w:t>
      </w:r>
      <w:r>
        <w:t>cannabis-based ingredients.</w:t>
      </w:r>
    </w:p>
    <w:p w14:paraId="1BFD9B9A" w14:textId="5B2CDBDF" w:rsidR="00F7308E" w:rsidRPr="005035FF" w:rsidRDefault="00F7308E" w:rsidP="008B5640">
      <w:r w:rsidRPr="005035FF">
        <w:t>PE 009-</w:t>
      </w:r>
      <w:r w:rsidR="002E7563">
        <w:t>14</w:t>
      </w:r>
      <w:r w:rsidRPr="005035FF">
        <w:t xml:space="preserve"> (Annexes) provides additional guidance for specific product types and more detail for specific topic areas. Use these annexes together with Part I or Part II.</w:t>
      </w:r>
    </w:p>
    <w:p w14:paraId="6B472149" w14:textId="77777777" w:rsidR="00F7308E" w:rsidRPr="005035FF" w:rsidRDefault="00F7308E" w:rsidP="008B5640">
      <w:r w:rsidRPr="005035FF">
        <w:t>Table 1 lists the annexes relevant to medicinal cannabis products and gives examples of the types of products that these annexes may apply to.</w:t>
      </w:r>
    </w:p>
    <w:p w14:paraId="22D4CC28" w14:textId="77777777" w:rsidR="00F7308E" w:rsidRPr="005035FF" w:rsidRDefault="00F7308E" w:rsidP="008B5640">
      <w:pPr>
        <w:pStyle w:val="Table"/>
        <w:rPr>
          <w:rFonts w:cs="Arial"/>
        </w:rPr>
      </w:pPr>
      <w:r w:rsidRPr="005035FF">
        <w:t>Table 1: Annexes in the GMP Code relevant to medicinal cannabis products</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29"/>
        <w:gridCol w:w="4541"/>
        <w:gridCol w:w="3119"/>
      </w:tblGrid>
      <w:tr w:rsidR="008B5640" w:rsidRPr="008B5640" w14:paraId="11433CA1" w14:textId="77777777" w:rsidTr="00CB7638">
        <w:trPr>
          <w:cantSplit/>
          <w:tblHeader/>
        </w:trPr>
        <w:tc>
          <w:tcPr>
            <w:tcW w:w="1129" w:type="dxa"/>
            <w:tcBorders>
              <w:bottom w:val="single" w:sz="4" w:space="0" w:color="FFFFFF" w:themeColor="background1"/>
            </w:tcBorders>
            <w:shd w:val="clear" w:color="auto" w:fill="076283"/>
          </w:tcPr>
          <w:p w14:paraId="58A8DDE4" w14:textId="77777777" w:rsidR="00F7308E" w:rsidRPr="00606CDC" w:rsidRDefault="00F7308E" w:rsidP="00CB7638">
            <w:pPr>
              <w:pStyle w:val="TableText"/>
              <w:keepNext/>
              <w:jc w:val="center"/>
              <w:rPr>
                <w:b/>
                <w:color w:val="FFFFFF" w:themeColor="background1"/>
                <w:lang w:val="en-NZ"/>
              </w:rPr>
            </w:pPr>
            <w:r w:rsidRPr="00606CDC">
              <w:rPr>
                <w:b/>
                <w:color w:val="FFFFFF" w:themeColor="background1"/>
                <w:lang w:val="en-NZ"/>
              </w:rPr>
              <w:t>Annex number</w:t>
            </w:r>
          </w:p>
        </w:tc>
        <w:tc>
          <w:tcPr>
            <w:tcW w:w="4541" w:type="dxa"/>
            <w:tcBorders>
              <w:bottom w:val="single" w:sz="4" w:space="0" w:color="FFFFFF" w:themeColor="background1"/>
            </w:tcBorders>
            <w:shd w:val="clear" w:color="auto" w:fill="076283"/>
          </w:tcPr>
          <w:p w14:paraId="615558FB" w14:textId="77777777" w:rsidR="00F7308E" w:rsidRPr="00606CDC" w:rsidRDefault="00F7308E" w:rsidP="00CB7638">
            <w:pPr>
              <w:pStyle w:val="TableText"/>
              <w:keepNext/>
              <w:rPr>
                <w:b/>
                <w:color w:val="FFFFFF" w:themeColor="background1"/>
                <w:lang w:val="en-NZ"/>
              </w:rPr>
            </w:pPr>
            <w:r w:rsidRPr="00606CDC">
              <w:rPr>
                <w:b/>
                <w:color w:val="FFFFFF" w:themeColor="background1"/>
                <w:lang w:val="en-NZ"/>
              </w:rPr>
              <w:t>Annex title</w:t>
            </w:r>
          </w:p>
        </w:tc>
        <w:tc>
          <w:tcPr>
            <w:tcW w:w="3119" w:type="dxa"/>
            <w:tcBorders>
              <w:bottom w:val="single" w:sz="4" w:space="0" w:color="FFFFFF" w:themeColor="background1"/>
            </w:tcBorders>
            <w:shd w:val="clear" w:color="auto" w:fill="076283"/>
          </w:tcPr>
          <w:p w14:paraId="22437744" w14:textId="77777777" w:rsidR="00F7308E" w:rsidRPr="00606CDC" w:rsidRDefault="00F7308E" w:rsidP="00CB7638">
            <w:pPr>
              <w:pStyle w:val="TableText"/>
              <w:keepNext/>
              <w:rPr>
                <w:b/>
                <w:color w:val="FFFFFF" w:themeColor="background1"/>
                <w:lang w:val="en-NZ"/>
              </w:rPr>
            </w:pPr>
            <w:r w:rsidRPr="00606CDC">
              <w:rPr>
                <w:b/>
                <w:color w:val="FFFFFF" w:themeColor="background1"/>
                <w:lang w:val="en-NZ"/>
              </w:rPr>
              <w:t>Product types annex may apply to</w:t>
            </w:r>
          </w:p>
        </w:tc>
      </w:tr>
      <w:tr w:rsidR="00F7308E" w:rsidRPr="005035FF" w14:paraId="3356E545" w14:textId="77777777" w:rsidTr="00CB7638">
        <w:trPr>
          <w:cantSplit/>
        </w:trPr>
        <w:tc>
          <w:tcPr>
            <w:tcW w:w="1129" w:type="dxa"/>
            <w:shd w:val="clear" w:color="auto" w:fill="076283"/>
          </w:tcPr>
          <w:p w14:paraId="5B79A68E"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7</w:t>
            </w:r>
          </w:p>
        </w:tc>
        <w:tc>
          <w:tcPr>
            <w:tcW w:w="4541" w:type="dxa"/>
            <w:tcBorders>
              <w:bottom w:val="single" w:sz="4" w:space="0" w:color="FFFFFF" w:themeColor="background1"/>
            </w:tcBorders>
            <w:shd w:val="clear" w:color="auto" w:fill="B4CFD9"/>
          </w:tcPr>
          <w:p w14:paraId="64F78D05" w14:textId="77777777" w:rsidR="00F7308E" w:rsidRPr="00606CDC" w:rsidRDefault="00F7308E" w:rsidP="00CB7638">
            <w:pPr>
              <w:pStyle w:val="TableText"/>
              <w:keepNext/>
              <w:rPr>
                <w:lang w:val="en-NZ"/>
              </w:rPr>
            </w:pPr>
            <w:r w:rsidRPr="00606CDC">
              <w:rPr>
                <w:lang w:val="en-NZ"/>
              </w:rPr>
              <w:t>Manufacture of herbal medicinal products</w:t>
            </w:r>
          </w:p>
        </w:tc>
        <w:tc>
          <w:tcPr>
            <w:tcW w:w="3119" w:type="dxa"/>
            <w:tcBorders>
              <w:bottom w:val="single" w:sz="4" w:space="0" w:color="FFFFFF" w:themeColor="background1"/>
            </w:tcBorders>
            <w:shd w:val="clear" w:color="auto" w:fill="B4CFD9"/>
          </w:tcPr>
          <w:p w14:paraId="07E9E731" w14:textId="77777777" w:rsidR="00F7308E" w:rsidRPr="00606CDC" w:rsidRDefault="00F7308E" w:rsidP="00CB7638">
            <w:pPr>
              <w:pStyle w:val="TableText"/>
              <w:keepNext/>
              <w:rPr>
                <w:lang w:val="en-NZ"/>
              </w:rPr>
            </w:pPr>
            <w:proofErr w:type="spellStart"/>
            <w:r w:rsidRPr="00606CDC">
              <w:rPr>
                <w:lang w:val="en-NZ"/>
              </w:rPr>
              <w:t>Flos</w:t>
            </w:r>
            <w:proofErr w:type="spellEnd"/>
            <w:r w:rsidRPr="00606CDC">
              <w:rPr>
                <w:lang w:val="en-NZ"/>
              </w:rPr>
              <w:t>, herbal tinctures, herbal powders</w:t>
            </w:r>
          </w:p>
        </w:tc>
      </w:tr>
      <w:tr w:rsidR="00F7308E" w:rsidRPr="005035FF" w14:paraId="3B2AF6E7" w14:textId="77777777" w:rsidTr="00CB7638">
        <w:trPr>
          <w:cantSplit/>
        </w:trPr>
        <w:tc>
          <w:tcPr>
            <w:tcW w:w="1129" w:type="dxa"/>
            <w:shd w:val="clear" w:color="auto" w:fill="076283"/>
          </w:tcPr>
          <w:p w14:paraId="27A650D3"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8</w:t>
            </w:r>
          </w:p>
        </w:tc>
        <w:tc>
          <w:tcPr>
            <w:tcW w:w="4541" w:type="dxa"/>
            <w:tcBorders>
              <w:bottom w:val="single" w:sz="4" w:space="0" w:color="FFFFFF" w:themeColor="background1"/>
            </w:tcBorders>
            <w:shd w:val="clear" w:color="auto" w:fill="D9E7EC"/>
          </w:tcPr>
          <w:p w14:paraId="32777071" w14:textId="77777777" w:rsidR="00F7308E" w:rsidRPr="00606CDC" w:rsidRDefault="00F7308E" w:rsidP="00CB7638">
            <w:pPr>
              <w:pStyle w:val="TableText"/>
              <w:keepNext/>
              <w:rPr>
                <w:lang w:val="en-NZ"/>
              </w:rPr>
            </w:pPr>
            <w:r w:rsidRPr="00606CDC">
              <w:rPr>
                <w:lang w:val="en-NZ"/>
              </w:rPr>
              <w:t>Sampling of starting and packaging materials</w:t>
            </w:r>
          </w:p>
        </w:tc>
        <w:tc>
          <w:tcPr>
            <w:tcW w:w="3119" w:type="dxa"/>
            <w:tcBorders>
              <w:bottom w:val="single" w:sz="4" w:space="0" w:color="FFFFFF" w:themeColor="background1"/>
            </w:tcBorders>
            <w:shd w:val="clear" w:color="auto" w:fill="D9E7EC"/>
          </w:tcPr>
          <w:p w14:paraId="2B2164F6" w14:textId="77777777" w:rsidR="00F7308E" w:rsidRPr="00606CDC" w:rsidRDefault="00F7308E" w:rsidP="00CB7638">
            <w:pPr>
              <w:pStyle w:val="TableText"/>
              <w:keepNext/>
              <w:rPr>
                <w:lang w:val="en-NZ"/>
              </w:rPr>
            </w:pPr>
            <w:r w:rsidRPr="00606CDC">
              <w:rPr>
                <w:lang w:val="en-NZ"/>
              </w:rPr>
              <w:t>All product types</w:t>
            </w:r>
          </w:p>
        </w:tc>
      </w:tr>
      <w:tr w:rsidR="00F7308E" w:rsidRPr="005035FF" w14:paraId="34DC8AB6" w14:textId="77777777" w:rsidTr="00CB7638">
        <w:trPr>
          <w:cantSplit/>
        </w:trPr>
        <w:tc>
          <w:tcPr>
            <w:tcW w:w="1129" w:type="dxa"/>
            <w:shd w:val="clear" w:color="auto" w:fill="076283"/>
          </w:tcPr>
          <w:p w14:paraId="7A4EC4F8"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9</w:t>
            </w:r>
          </w:p>
        </w:tc>
        <w:tc>
          <w:tcPr>
            <w:tcW w:w="4541" w:type="dxa"/>
            <w:tcBorders>
              <w:bottom w:val="single" w:sz="4" w:space="0" w:color="FFFFFF" w:themeColor="background1"/>
            </w:tcBorders>
            <w:shd w:val="clear" w:color="auto" w:fill="B4CFD9"/>
          </w:tcPr>
          <w:p w14:paraId="3AE7621E" w14:textId="77777777" w:rsidR="00F7308E" w:rsidRPr="00606CDC" w:rsidRDefault="00F7308E" w:rsidP="00CB7638">
            <w:pPr>
              <w:pStyle w:val="TableText"/>
              <w:keepNext/>
              <w:rPr>
                <w:lang w:val="en-NZ"/>
              </w:rPr>
            </w:pPr>
            <w:r w:rsidRPr="00606CDC">
              <w:rPr>
                <w:lang w:val="en-NZ"/>
              </w:rPr>
              <w:t xml:space="preserve">Manufacture of liquids, </w:t>
            </w:r>
            <w:proofErr w:type="gramStart"/>
            <w:r w:rsidRPr="00606CDC">
              <w:rPr>
                <w:lang w:val="en-NZ"/>
              </w:rPr>
              <w:t>creams</w:t>
            </w:r>
            <w:proofErr w:type="gramEnd"/>
            <w:r w:rsidRPr="00606CDC">
              <w:rPr>
                <w:lang w:val="en-NZ"/>
              </w:rPr>
              <w:t xml:space="preserve"> and ointments</w:t>
            </w:r>
          </w:p>
        </w:tc>
        <w:tc>
          <w:tcPr>
            <w:tcW w:w="3119" w:type="dxa"/>
            <w:tcBorders>
              <w:bottom w:val="single" w:sz="4" w:space="0" w:color="FFFFFF" w:themeColor="background1"/>
            </w:tcBorders>
            <w:shd w:val="clear" w:color="auto" w:fill="B4CFD9"/>
          </w:tcPr>
          <w:p w14:paraId="59ABF4D6" w14:textId="77777777" w:rsidR="00F7308E" w:rsidRPr="00606CDC" w:rsidRDefault="00F7308E" w:rsidP="00CB7638">
            <w:pPr>
              <w:pStyle w:val="TableText"/>
              <w:keepNext/>
              <w:rPr>
                <w:lang w:val="en-NZ"/>
              </w:rPr>
            </w:pPr>
            <w:r w:rsidRPr="00606CDC">
              <w:rPr>
                <w:lang w:val="en-NZ"/>
              </w:rPr>
              <w:t xml:space="preserve">Liquids, </w:t>
            </w:r>
            <w:proofErr w:type="gramStart"/>
            <w:r w:rsidRPr="00606CDC">
              <w:rPr>
                <w:lang w:val="en-NZ"/>
              </w:rPr>
              <w:t>creams</w:t>
            </w:r>
            <w:proofErr w:type="gramEnd"/>
            <w:r w:rsidRPr="00606CDC">
              <w:rPr>
                <w:lang w:val="en-NZ"/>
              </w:rPr>
              <w:t xml:space="preserve"> and ointments</w:t>
            </w:r>
          </w:p>
        </w:tc>
      </w:tr>
      <w:tr w:rsidR="00F7308E" w:rsidRPr="005035FF" w14:paraId="0C73CB5C" w14:textId="77777777" w:rsidTr="00CB7638">
        <w:trPr>
          <w:cantSplit/>
        </w:trPr>
        <w:tc>
          <w:tcPr>
            <w:tcW w:w="1129" w:type="dxa"/>
            <w:shd w:val="clear" w:color="auto" w:fill="076283"/>
          </w:tcPr>
          <w:p w14:paraId="0BC24136"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10</w:t>
            </w:r>
          </w:p>
        </w:tc>
        <w:tc>
          <w:tcPr>
            <w:tcW w:w="4541" w:type="dxa"/>
            <w:tcBorders>
              <w:bottom w:val="single" w:sz="4" w:space="0" w:color="FFFFFF" w:themeColor="background1"/>
            </w:tcBorders>
            <w:shd w:val="clear" w:color="auto" w:fill="D9E7EC"/>
          </w:tcPr>
          <w:p w14:paraId="364C66F8" w14:textId="77777777" w:rsidR="00F7308E" w:rsidRPr="00606CDC" w:rsidRDefault="00F7308E" w:rsidP="00CB7638">
            <w:pPr>
              <w:pStyle w:val="TableText"/>
              <w:keepNext/>
              <w:rPr>
                <w:lang w:val="en-NZ"/>
              </w:rPr>
            </w:pPr>
            <w:r w:rsidRPr="00606CDC">
              <w:rPr>
                <w:lang w:val="en-NZ"/>
              </w:rPr>
              <w:t>Manufacture of pressurised metered dose aerosol preparations for inhalation</w:t>
            </w:r>
          </w:p>
        </w:tc>
        <w:tc>
          <w:tcPr>
            <w:tcW w:w="3119" w:type="dxa"/>
            <w:tcBorders>
              <w:bottom w:val="single" w:sz="4" w:space="0" w:color="FFFFFF" w:themeColor="background1"/>
            </w:tcBorders>
            <w:shd w:val="clear" w:color="auto" w:fill="D9E7EC"/>
          </w:tcPr>
          <w:p w14:paraId="2C171455" w14:textId="77777777" w:rsidR="00F7308E" w:rsidRPr="00606CDC" w:rsidRDefault="00F7308E" w:rsidP="00CB7638">
            <w:pPr>
              <w:pStyle w:val="TableText"/>
              <w:keepNext/>
              <w:rPr>
                <w:lang w:val="en-NZ"/>
              </w:rPr>
            </w:pPr>
            <w:r w:rsidRPr="00606CDC">
              <w:rPr>
                <w:lang w:val="en-NZ"/>
              </w:rPr>
              <w:t>Pressurised metered dose aerosol preparations for inhalation</w:t>
            </w:r>
          </w:p>
        </w:tc>
      </w:tr>
      <w:tr w:rsidR="00F7308E" w:rsidRPr="005035FF" w14:paraId="0C1D7047" w14:textId="77777777" w:rsidTr="00CB7638">
        <w:trPr>
          <w:cantSplit/>
        </w:trPr>
        <w:tc>
          <w:tcPr>
            <w:tcW w:w="1129" w:type="dxa"/>
            <w:shd w:val="clear" w:color="auto" w:fill="076283"/>
          </w:tcPr>
          <w:p w14:paraId="514D5107"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11</w:t>
            </w:r>
          </w:p>
        </w:tc>
        <w:tc>
          <w:tcPr>
            <w:tcW w:w="4541" w:type="dxa"/>
            <w:tcBorders>
              <w:bottom w:val="single" w:sz="4" w:space="0" w:color="FFFFFF" w:themeColor="background1"/>
            </w:tcBorders>
            <w:shd w:val="clear" w:color="auto" w:fill="B4CFD9"/>
          </w:tcPr>
          <w:p w14:paraId="1E2A53C2" w14:textId="77777777" w:rsidR="00F7308E" w:rsidRPr="00606CDC" w:rsidRDefault="00F7308E" w:rsidP="00CB7638">
            <w:pPr>
              <w:pStyle w:val="TableText"/>
              <w:keepNext/>
              <w:rPr>
                <w:lang w:val="en-NZ"/>
              </w:rPr>
            </w:pPr>
            <w:r w:rsidRPr="00606CDC">
              <w:rPr>
                <w:lang w:val="en-NZ"/>
              </w:rPr>
              <w:t>Computerised systems</w:t>
            </w:r>
          </w:p>
        </w:tc>
        <w:tc>
          <w:tcPr>
            <w:tcW w:w="3119" w:type="dxa"/>
            <w:tcBorders>
              <w:bottom w:val="single" w:sz="4" w:space="0" w:color="FFFFFF" w:themeColor="background1"/>
            </w:tcBorders>
            <w:shd w:val="clear" w:color="auto" w:fill="B4CFD9"/>
          </w:tcPr>
          <w:p w14:paraId="58DC07A0" w14:textId="77777777" w:rsidR="00F7308E" w:rsidRPr="00606CDC" w:rsidRDefault="00F7308E" w:rsidP="00CB7638">
            <w:pPr>
              <w:pStyle w:val="TableText"/>
              <w:keepNext/>
              <w:rPr>
                <w:lang w:val="en-NZ"/>
              </w:rPr>
            </w:pPr>
            <w:r w:rsidRPr="00606CDC">
              <w:rPr>
                <w:lang w:val="en-NZ"/>
              </w:rPr>
              <w:t>All products</w:t>
            </w:r>
          </w:p>
        </w:tc>
      </w:tr>
      <w:tr w:rsidR="00F7308E" w:rsidRPr="005035FF" w14:paraId="53068D96" w14:textId="77777777" w:rsidTr="00CB7638">
        <w:trPr>
          <w:cantSplit/>
        </w:trPr>
        <w:tc>
          <w:tcPr>
            <w:tcW w:w="1129" w:type="dxa"/>
            <w:shd w:val="clear" w:color="auto" w:fill="076283"/>
          </w:tcPr>
          <w:p w14:paraId="6068FD87" w14:textId="77777777" w:rsidR="00F7308E" w:rsidRPr="00606CDC" w:rsidRDefault="00F7308E" w:rsidP="00CB7638">
            <w:pPr>
              <w:pStyle w:val="TableText"/>
              <w:keepNext/>
              <w:tabs>
                <w:tab w:val="decimal" w:pos="507"/>
              </w:tabs>
              <w:rPr>
                <w:color w:val="FFFFFF" w:themeColor="background1"/>
                <w:lang w:val="en-NZ"/>
              </w:rPr>
            </w:pPr>
            <w:r w:rsidRPr="00606CDC">
              <w:rPr>
                <w:color w:val="FFFFFF" w:themeColor="background1"/>
                <w:lang w:val="en-NZ"/>
              </w:rPr>
              <w:t>12</w:t>
            </w:r>
          </w:p>
        </w:tc>
        <w:tc>
          <w:tcPr>
            <w:tcW w:w="4541" w:type="dxa"/>
            <w:tcBorders>
              <w:bottom w:val="single" w:sz="4" w:space="0" w:color="FFFFFF" w:themeColor="background1"/>
            </w:tcBorders>
            <w:shd w:val="clear" w:color="auto" w:fill="D9E7EC"/>
          </w:tcPr>
          <w:p w14:paraId="36D3048D" w14:textId="77777777" w:rsidR="00F7308E" w:rsidRPr="00606CDC" w:rsidRDefault="00F7308E" w:rsidP="00CB7638">
            <w:pPr>
              <w:pStyle w:val="TableText"/>
              <w:keepNext/>
              <w:rPr>
                <w:lang w:val="en-NZ"/>
              </w:rPr>
            </w:pPr>
            <w:r w:rsidRPr="00606CDC">
              <w:rPr>
                <w:lang w:val="en-NZ"/>
              </w:rPr>
              <w:t>Use of ionising radiation in the manufacture of medicinal products</w:t>
            </w:r>
          </w:p>
        </w:tc>
        <w:tc>
          <w:tcPr>
            <w:tcW w:w="3119" w:type="dxa"/>
            <w:tcBorders>
              <w:bottom w:val="single" w:sz="4" w:space="0" w:color="FFFFFF" w:themeColor="background1"/>
            </w:tcBorders>
            <w:shd w:val="clear" w:color="auto" w:fill="D9E7EC"/>
          </w:tcPr>
          <w:p w14:paraId="58626D43" w14:textId="77777777" w:rsidR="00F7308E" w:rsidRPr="00606CDC" w:rsidRDefault="00F7308E" w:rsidP="00CB7638">
            <w:pPr>
              <w:pStyle w:val="TableText"/>
              <w:keepNext/>
              <w:rPr>
                <w:lang w:val="en-NZ"/>
              </w:rPr>
            </w:pPr>
            <w:r w:rsidRPr="00606CDC">
              <w:rPr>
                <w:lang w:val="en-NZ"/>
              </w:rPr>
              <w:t>Any products using ionising radiation to reduce bioburden</w:t>
            </w:r>
          </w:p>
        </w:tc>
      </w:tr>
      <w:tr w:rsidR="00F7308E" w:rsidRPr="005035FF" w14:paraId="3D564123" w14:textId="77777777" w:rsidTr="00CB7638">
        <w:trPr>
          <w:cantSplit/>
        </w:trPr>
        <w:tc>
          <w:tcPr>
            <w:tcW w:w="1129" w:type="dxa"/>
            <w:shd w:val="clear" w:color="auto" w:fill="076283"/>
          </w:tcPr>
          <w:p w14:paraId="3D72A310" w14:textId="77777777" w:rsidR="00F7308E" w:rsidRPr="00606CDC" w:rsidRDefault="00F7308E" w:rsidP="008B5640">
            <w:pPr>
              <w:pStyle w:val="TableText"/>
              <w:tabs>
                <w:tab w:val="decimal" w:pos="507"/>
              </w:tabs>
              <w:rPr>
                <w:color w:val="FFFFFF" w:themeColor="background1"/>
                <w:lang w:val="en-NZ"/>
              </w:rPr>
            </w:pPr>
            <w:r w:rsidRPr="00606CDC">
              <w:rPr>
                <w:color w:val="FFFFFF" w:themeColor="background1"/>
                <w:lang w:val="en-NZ"/>
              </w:rPr>
              <w:t>13</w:t>
            </w:r>
          </w:p>
        </w:tc>
        <w:tc>
          <w:tcPr>
            <w:tcW w:w="4541" w:type="dxa"/>
            <w:tcBorders>
              <w:bottom w:val="single" w:sz="4" w:space="0" w:color="FFFFFF" w:themeColor="background1"/>
            </w:tcBorders>
            <w:shd w:val="clear" w:color="auto" w:fill="B4CFD9"/>
          </w:tcPr>
          <w:p w14:paraId="71E6620B" w14:textId="77777777" w:rsidR="00F7308E" w:rsidRPr="00606CDC" w:rsidRDefault="00F7308E" w:rsidP="008B5640">
            <w:pPr>
              <w:pStyle w:val="TableText"/>
              <w:rPr>
                <w:lang w:val="en-NZ"/>
              </w:rPr>
            </w:pPr>
            <w:r w:rsidRPr="00606CDC">
              <w:rPr>
                <w:lang w:val="en-NZ"/>
              </w:rPr>
              <w:t>Manufacture of investigational medicinal products</w:t>
            </w:r>
          </w:p>
        </w:tc>
        <w:tc>
          <w:tcPr>
            <w:tcW w:w="3119" w:type="dxa"/>
            <w:tcBorders>
              <w:bottom w:val="single" w:sz="4" w:space="0" w:color="FFFFFF" w:themeColor="background1"/>
            </w:tcBorders>
            <w:shd w:val="clear" w:color="auto" w:fill="B4CFD9"/>
          </w:tcPr>
          <w:p w14:paraId="2E4C39E8" w14:textId="77777777" w:rsidR="00F7308E" w:rsidRPr="00606CDC" w:rsidRDefault="00F7308E" w:rsidP="008B5640">
            <w:pPr>
              <w:pStyle w:val="TableText"/>
              <w:rPr>
                <w:lang w:val="en-NZ"/>
              </w:rPr>
            </w:pPr>
            <w:r w:rsidRPr="00606CDC">
              <w:rPr>
                <w:lang w:val="en-NZ"/>
              </w:rPr>
              <w:t>Clinical trial products</w:t>
            </w:r>
          </w:p>
        </w:tc>
      </w:tr>
      <w:tr w:rsidR="00F7308E" w:rsidRPr="005035FF" w14:paraId="13D5BB73" w14:textId="77777777" w:rsidTr="00CB7638">
        <w:trPr>
          <w:cantSplit/>
        </w:trPr>
        <w:tc>
          <w:tcPr>
            <w:tcW w:w="1129" w:type="dxa"/>
            <w:shd w:val="clear" w:color="auto" w:fill="076283"/>
          </w:tcPr>
          <w:p w14:paraId="310DBCF9" w14:textId="77777777" w:rsidR="00F7308E" w:rsidRPr="00606CDC" w:rsidRDefault="00F7308E" w:rsidP="008B5640">
            <w:pPr>
              <w:pStyle w:val="TableText"/>
              <w:tabs>
                <w:tab w:val="decimal" w:pos="507"/>
              </w:tabs>
              <w:rPr>
                <w:color w:val="FFFFFF" w:themeColor="background1"/>
                <w:lang w:val="en-NZ"/>
              </w:rPr>
            </w:pPr>
            <w:r w:rsidRPr="00606CDC">
              <w:rPr>
                <w:color w:val="FFFFFF" w:themeColor="background1"/>
                <w:lang w:val="en-NZ"/>
              </w:rPr>
              <w:t>15</w:t>
            </w:r>
          </w:p>
        </w:tc>
        <w:tc>
          <w:tcPr>
            <w:tcW w:w="4541" w:type="dxa"/>
            <w:tcBorders>
              <w:bottom w:val="single" w:sz="4" w:space="0" w:color="FFFFFF" w:themeColor="background1"/>
            </w:tcBorders>
            <w:shd w:val="clear" w:color="auto" w:fill="D9E7EC"/>
          </w:tcPr>
          <w:p w14:paraId="77176D74" w14:textId="77777777" w:rsidR="00F7308E" w:rsidRPr="00606CDC" w:rsidRDefault="00F7308E" w:rsidP="008B5640">
            <w:pPr>
              <w:pStyle w:val="TableText"/>
              <w:rPr>
                <w:lang w:val="en-NZ"/>
              </w:rPr>
            </w:pPr>
            <w:r w:rsidRPr="00606CDC">
              <w:rPr>
                <w:lang w:val="en-NZ"/>
              </w:rPr>
              <w:t>Qualification and validation</w:t>
            </w:r>
          </w:p>
        </w:tc>
        <w:tc>
          <w:tcPr>
            <w:tcW w:w="3119" w:type="dxa"/>
            <w:tcBorders>
              <w:bottom w:val="single" w:sz="4" w:space="0" w:color="FFFFFF" w:themeColor="background1"/>
            </w:tcBorders>
            <w:shd w:val="clear" w:color="auto" w:fill="D9E7EC"/>
          </w:tcPr>
          <w:p w14:paraId="58CEE28A" w14:textId="77777777" w:rsidR="00F7308E" w:rsidRPr="00606CDC" w:rsidRDefault="00F7308E" w:rsidP="008B5640">
            <w:pPr>
              <w:pStyle w:val="TableText"/>
              <w:rPr>
                <w:lang w:val="en-NZ"/>
              </w:rPr>
            </w:pPr>
            <w:r w:rsidRPr="00606CDC">
              <w:rPr>
                <w:lang w:val="en-NZ"/>
              </w:rPr>
              <w:t>All products</w:t>
            </w:r>
          </w:p>
        </w:tc>
      </w:tr>
      <w:tr w:rsidR="00F7308E" w:rsidRPr="005035FF" w14:paraId="2726C371" w14:textId="77777777" w:rsidTr="00CB7638">
        <w:trPr>
          <w:cantSplit/>
        </w:trPr>
        <w:tc>
          <w:tcPr>
            <w:tcW w:w="1129" w:type="dxa"/>
            <w:shd w:val="clear" w:color="auto" w:fill="076283"/>
          </w:tcPr>
          <w:p w14:paraId="0984F329" w14:textId="77777777" w:rsidR="00F7308E" w:rsidRPr="00606CDC" w:rsidRDefault="00F7308E" w:rsidP="008B5640">
            <w:pPr>
              <w:pStyle w:val="TableText"/>
              <w:tabs>
                <w:tab w:val="decimal" w:pos="507"/>
              </w:tabs>
              <w:rPr>
                <w:color w:val="FFFFFF" w:themeColor="background1"/>
                <w:lang w:val="en-NZ"/>
              </w:rPr>
            </w:pPr>
            <w:r w:rsidRPr="00606CDC">
              <w:rPr>
                <w:color w:val="FFFFFF" w:themeColor="background1"/>
                <w:lang w:val="en-NZ"/>
              </w:rPr>
              <w:t>19</w:t>
            </w:r>
          </w:p>
        </w:tc>
        <w:tc>
          <w:tcPr>
            <w:tcW w:w="4541" w:type="dxa"/>
            <w:tcBorders>
              <w:bottom w:val="single" w:sz="4" w:space="0" w:color="FFFFFF" w:themeColor="background1"/>
            </w:tcBorders>
            <w:shd w:val="clear" w:color="auto" w:fill="B4CFD9"/>
          </w:tcPr>
          <w:p w14:paraId="4C713134" w14:textId="77777777" w:rsidR="00F7308E" w:rsidRPr="00606CDC" w:rsidRDefault="00F7308E" w:rsidP="008B5640">
            <w:pPr>
              <w:pStyle w:val="TableText"/>
              <w:rPr>
                <w:lang w:val="en-NZ"/>
              </w:rPr>
            </w:pPr>
            <w:r w:rsidRPr="00606CDC">
              <w:rPr>
                <w:lang w:val="en-NZ"/>
              </w:rPr>
              <w:t>Reference and retention samples</w:t>
            </w:r>
          </w:p>
        </w:tc>
        <w:tc>
          <w:tcPr>
            <w:tcW w:w="3119" w:type="dxa"/>
            <w:tcBorders>
              <w:bottom w:val="single" w:sz="4" w:space="0" w:color="FFFFFF" w:themeColor="background1"/>
            </w:tcBorders>
            <w:shd w:val="clear" w:color="auto" w:fill="B4CFD9"/>
          </w:tcPr>
          <w:p w14:paraId="2D797268" w14:textId="77777777" w:rsidR="00F7308E" w:rsidRPr="00606CDC" w:rsidRDefault="00F7308E" w:rsidP="008B5640">
            <w:pPr>
              <w:pStyle w:val="TableText"/>
              <w:rPr>
                <w:lang w:val="en-NZ"/>
              </w:rPr>
            </w:pPr>
            <w:r w:rsidRPr="00606CDC">
              <w:rPr>
                <w:lang w:val="en-NZ"/>
              </w:rPr>
              <w:t>All products</w:t>
            </w:r>
          </w:p>
        </w:tc>
      </w:tr>
      <w:tr w:rsidR="00F7308E" w:rsidRPr="005035FF" w14:paraId="36F8D4F9" w14:textId="77777777" w:rsidTr="00CB7638">
        <w:trPr>
          <w:cantSplit/>
        </w:trPr>
        <w:tc>
          <w:tcPr>
            <w:tcW w:w="1129" w:type="dxa"/>
            <w:shd w:val="clear" w:color="auto" w:fill="076283"/>
          </w:tcPr>
          <w:p w14:paraId="1524A0B8" w14:textId="77777777" w:rsidR="00F7308E" w:rsidRPr="00606CDC" w:rsidRDefault="00F7308E" w:rsidP="008B5640">
            <w:pPr>
              <w:pStyle w:val="TableText"/>
              <w:tabs>
                <w:tab w:val="decimal" w:pos="507"/>
              </w:tabs>
              <w:rPr>
                <w:color w:val="FFFFFF" w:themeColor="background1"/>
                <w:lang w:val="en-NZ"/>
              </w:rPr>
            </w:pPr>
            <w:r w:rsidRPr="00606CDC">
              <w:rPr>
                <w:color w:val="FFFFFF" w:themeColor="background1"/>
                <w:lang w:val="en-NZ"/>
              </w:rPr>
              <w:lastRenderedPageBreak/>
              <w:t>20</w:t>
            </w:r>
          </w:p>
        </w:tc>
        <w:tc>
          <w:tcPr>
            <w:tcW w:w="4541" w:type="dxa"/>
            <w:shd w:val="clear" w:color="auto" w:fill="D9E7EC"/>
          </w:tcPr>
          <w:p w14:paraId="39365E14" w14:textId="77777777" w:rsidR="00F7308E" w:rsidRPr="00606CDC" w:rsidRDefault="00F7308E" w:rsidP="008B5640">
            <w:pPr>
              <w:pStyle w:val="TableText"/>
              <w:rPr>
                <w:lang w:val="en-NZ"/>
              </w:rPr>
            </w:pPr>
            <w:r w:rsidRPr="00606CDC">
              <w:rPr>
                <w:lang w:val="en-NZ"/>
              </w:rPr>
              <w:t>Quality risk management</w:t>
            </w:r>
          </w:p>
          <w:p w14:paraId="75C3F7AF" w14:textId="77777777" w:rsidR="00F7308E" w:rsidRPr="00606CDC" w:rsidRDefault="00F7308E" w:rsidP="008B5640">
            <w:pPr>
              <w:pStyle w:val="TableText"/>
              <w:rPr>
                <w:lang w:val="en-NZ"/>
              </w:rPr>
            </w:pPr>
            <w:r w:rsidRPr="00606CDC">
              <w:rPr>
                <w:lang w:val="en-NZ"/>
              </w:rPr>
              <w:t>Note: This is a voluntary annex.</w:t>
            </w:r>
          </w:p>
        </w:tc>
        <w:tc>
          <w:tcPr>
            <w:tcW w:w="3119" w:type="dxa"/>
            <w:shd w:val="clear" w:color="auto" w:fill="D9E7EC"/>
          </w:tcPr>
          <w:p w14:paraId="7A01ED48" w14:textId="77777777" w:rsidR="00F7308E" w:rsidRPr="00606CDC" w:rsidRDefault="00F7308E" w:rsidP="008B5640">
            <w:pPr>
              <w:pStyle w:val="TableText"/>
              <w:rPr>
                <w:lang w:val="en-NZ"/>
              </w:rPr>
            </w:pPr>
            <w:r w:rsidRPr="00606CDC">
              <w:rPr>
                <w:lang w:val="en-NZ"/>
              </w:rPr>
              <w:t>All products</w:t>
            </w:r>
          </w:p>
        </w:tc>
      </w:tr>
    </w:tbl>
    <w:p w14:paraId="030F2B01" w14:textId="34271712" w:rsidR="00F7308E" w:rsidRPr="005035FF" w:rsidRDefault="00F7308E" w:rsidP="00CB7638">
      <w:pPr>
        <w:rPr>
          <w:color w:val="000000"/>
        </w:rPr>
      </w:pPr>
      <w:r w:rsidRPr="005035FF">
        <w:rPr>
          <w:color w:val="000000"/>
        </w:rPr>
        <w:t xml:space="preserve">For the GMP Code and its annexes, go to the </w:t>
      </w:r>
      <w:hyperlink r:id="rId21" w:history="1">
        <w:r w:rsidRPr="006A64AF">
          <w:rPr>
            <w:rStyle w:val="Hyperlink"/>
            <w:rFonts w:cs="Arial"/>
          </w:rPr>
          <w:t>regulatory guidelines</w:t>
        </w:r>
      </w:hyperlink>
      <w:r>
        <w:rPr>
          <w:color w:val="000000"/>
        </w:rPr>
        <w:t xml:space="preserve"> on the </w:t>
      </w:r>
      <w:r w:rsidRPr="005035FF">
        <w:rPr>
          <w:color w:val="000000"/>
        </w:rPr>
        <w:t>Medsafe</w:t>
      </w:r>
      <w:r w:rsidR="006F5C10">
        <w:rPr>
          <w:color w:val="000000"/>
        </w:rPr>
        <w:t xml:space="preserve"> website.</w:t>
      </w:r>
    </w:p>
    <w:p w14:paraId="77F170F8" w14:textId="77777777" w:rsidR="00F7308E" w:rsidRPr="005035FF" w:rsidRDefault="00F7308E" w:rsidP="00CB7638">
      <w:pPr>
        <w:pStyle w:val="Heading2"/>
      </w:pPr>
      <w:bookmarkStart w:id="26" w:name="_Toc36535169"/>
      <w:bookmarkStart w:id="27" w:name="_Toc37024329"/>
      <w:r>
        <w:t xml:space="preserve">How to </w:t>
      </w:r>
      <w:r w:rsidR="00CB7638">
        <w:t>f</w:t>
      </w:r>
      <w:r w:rsidRPr="005035FF">
        <w:t>ind out more about the GMP Code</w:t>
      </w:r>
      <w:bookmarkEnd w:id="26"/>
      <w:bookmarkEnd w:id="27"/>
    </w:p>
    <w:p w14:paraId="0487CF5D" w14:textId="77777777" w:rsidR="00F7308E" w:rsidRPr="005035FF" w:rsidRDefault="00F7308E" w:rsidP="00CB7638">
      <w:pPr>
        <w:spacing w:after="240"/>
      </w:pPr>
      <w:r w:rsidRPr="005035FF">
        <w:t xml:space="preserve">If your organisation is not familiar with the GMP Code, you may wish to seek help from a therapeutic products consultant. For a list of consultants who have self-notified </w:t>
      </w:r>
      <w:r>
        <w:t xml:space="preserve">refer to the </w:t>
      </w:r>
      <w:hyperlink r:id="rId22" w:history="1">
        <w:r w:rsidRPr="004B2AA1">
          <w:rPr>
            <w:rStyle w:val="Hyperlink"/>
            <w:rFonts w:cs="Arial"/>
          </w:rPr>
          <w:t>regulatory consultants list</w:t>
        </w:r>
      </w:hyperlink>
      <w:r>
        <w:t xml:space="preserve"> on the </w:t>
      </w:r>
      <w:r w:rsidRPr="005035FF">
        <w:t>Medsafe</w:t>
      </w:r>
      <w:r>
        <w:t xml:space="preserve"> website.</w:t>
      </w:r>
    </w:p>
    <w:p w14:paraId="692AD12A" w14:textId="77777777" w:rsidR="00CB7638" w:rsidRPr="005035FF" w:rsidRDefault="00CB7638" w:rsidP="00CB7638">
      <w:pPr>
        <w:pStyle w:val="Box"/>
      </w:pPr>
      <w:r w:rsidRPr="005035FF">
        <w:rPr>
          <w:b/>
        </w:rPr>
        <w:t>Note:</w:t>
      </w:r>
      <w:r w:rsidRPr="005035FF">
        <w:t xml:space="preserve"> Before engaging the services of any particular consultant, you should evaluate whether their services are s</w:t>
      </w:r>
      <w:r>
        <w:t>uitable for your requirements.</w:t>
      </w:r>
    </w:p>
    <w:p w14:paraId="2AA722CF" w14:textId="77777777" w:rsidR="00F7308E" w:rsidRPr="005035FF" w:rsidRDefault="00F7308E" w:rsidP="00CB7638">
      <w:pPr>
        <w:pStyle w:val="Heading1"/>
      </w:pPr>
      <w:bookmarkStart w:id="28" w:name="_Section_3:_At"/>
      <w:bookmarkStart w:id="29" w:name="_Toc36535170"/>
      <w:bookmarkStart w:id="30" w:name="_Toc37024330"/>
      <w:bookmarkEnd w:id="28"/>
      <w:r w:rsidRPr="005035FF">
        <w:lastRenderedPageBreak/>
        <w:t>When to start implementing the GMP Code in the manufacturing process</w:t>
      </w:r>
      <w:bookmarkEnd w:id="29"/>
      <w:bookmarkEnd w:id="30"/>
    </w:p>
    <w:p w14:paraId="68EF1DE9" w14:textId="77777777" w:rsidR="00F7308E" w:rsidRPr="005035FF" w:rsidRDefault="00F7308E" w:rsidP="00CB7638">
      <w:r w:rsidRPr="005035FF">
        <w:t xml:space="preserve">Which step in the manufacturing process is your starting point for implementing the GMP Code will vary depending on the dosage form of the medicinal cannabis product and the manufacturing process you are using. You should conduct a comprehensive risk assessment to support your choice of </w:t>
      </w:r>
      <w:r w:rsidR="00CB7638">
        <w:t>starting point.</w:t>
      </w:r>
    </w:p>
    <w:p w14:paraId="385B751F" w14:textId="77777777" w:rsidR="00F7308E" w:rsidRPr="005035FF" w:rsidRDefault="00F7308E" w:rsidP="00CB7638">
      <w:r w:rsidRPr="005035FF">
        <w:t>In the risk assessment, first identify the controls for each manufacturing step that could impact product quality. Then document a comprehensive strategy for controlling risks to product quality. This strategy should outline the rationale behind your choice of starting point for implementing the GMP Code.</w:t>
      </w:r>
    </w:p>
    <w:p w14:paraId="27A8FB4F" w14:textId="77777777" w:rsidR="00F7308E" w:rsidRPr="005035FF" w:rsidRDefault="00F7308E" w:rsidP="00CB7638">
      <w:r w:rsidRPr="005035FF">
        <w:t>You should document your risk assessment and have it available for review if requested during the assessment of your application for a Licence to Manufacture Medicines and/or a Licence to Pack Medicines.</w:t>
      </w:r>
    </w:p>
    <w:p w14:paraId="18BDBF66" w14:textId="77777777" w:rsidR="00F7308E" w:rsidRPr="005035FF" w:rsidRDefault="00F7308E" w:rsidP="00CB7638">
      <w:r w:rsidRPr="005035FF">
        <w:t>For guidance on how to complete risk assessments, see Annex 20 of the GMP Code.</w:t>
      </w:r>
    </w:p>
    <w:p w14:paraId="42645A49" w14:textId="77777777" w:rsidR="00F7308E" w:rsidRPr="005035FF" w:rsidRDefault="00F7308E" w:rsidP="00CB7638">
      <w:pPr>
        <w:spacing w:after="240"/>
      </w:pPr>
      <w:r w:rsidRPr="005035FF">
        <w:t>The examples below are designed to help you work out your own starting point for applying the GMP Code across various dosage forms.</w:t>
      </w:r>
    </w:p>
    <w:p w14:paraId="1EE87F22" w14:textId="77777777" w:rsidR="00CB7638" w:rsidRPr="005035FF" w:rsidRDefault="00CB7638" w:rsidP="00CB7638">
      <w:pPr>
        <w:pStyle w:val="Box"/>
      </w:pPr>
      <w:r w:rsidRPr="005035FF">
        <w:rPr>
          <w:b/>
        </w:rPr>
        <w:t>Note</w:t>
      </w:r>
      <w:r w:rsidRPr="005035FF">
        <w:t>: These examples are intended as general guidance only. You should always complete a comprehensive risk assessment for your specific product and manufacturing process to work out your starting point for implementing the GMP Code.</w:t>
      </w:r>
    </w:p>
    <w:p w14:paraId="5862024F" w14:textId="77777777" w:rsidR="00F7308E" w:rsidRPr="005035FF" w:rsidRDefault="00F7308E" w:rsidP="00CB7638"/>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740"/>
      </w:tblGrid>
      <w:tr w:rsidR="00CB7638" w:rsidRPr="00CB7638" w14:paraId="5BBB20E6" w14:textId="77777777" w:rsidTr="00CB7638">
        <w:trPr>
          <w:cantSplit/>
        </w:trPr>
        <w:tc>
          <w:tcPr>
            <w:tcW w:w="8740" w:type="dxa"/>
            <w:tcBorders>
              <w:top w:val="single" w:sz="4" w:space="0" w:color="076283"/>
              <w:left w:val="single" w:sz="4" w:space="0" w:color="076283"/>
              <w:bottom w:val="single" w:sz="4" w:space="0" w:color="076283"/>
              <w:right w:val="single" w:sz="4" w:space="0" w:color="076283"/>
            </w:tcBorders>
            <w:shd w:val="clear" w:color="auto" w:fill="076283"/>
          </w:tcPr>
          <w:p w14:paraId="42FF6B10" w14:textId="77777777" w:rsidR="00F7308E" w:rsidRPr="00606CDC" w:rsidRDefault="00F7308E" w:rsidP="00CB7638">
            <w:pPr>
              <w:pStyle w:val="TableText"/>
              <w:rPr>
                <w:b/>
                <w:color w:val="FFFFFF" w:themeColor="background1"/>
                <w:lang w:val="en-NZ"/>
              </w:rPr>
            </w:pPr>
            <w:r w:rsidRPr="00606CDC">
              <w:rPr>
                <w:b/>
                <w:color w:val="FFFFFF" w:themeColor="background1"/>
                <w:lang w:val="en-NZ"/>
              </w:rPr>
              <w:t>Example 1: Dosage form – cannabis oil formulation</w:t>
            </w:r>
          </w:p>
        </w:tc>
      </w:tr>
      <w:tr w:rsidR="00CB7638" w:rsidRPr="005035FF" w14:paraId="17323B31" w14:textId="77777777" w:rsidTr="00CB7638">
        <w:trPr>
          <w:cantSplit/>
        </w:trPr>
        <w:tc>
          <w:tcPr>
            <w:tcW w:w="8740" w:type="dxa"/>
            <w:tcBorders>
              <w:top w:val="single" w:sz="4" w:space="0" w:color="076283"/>
              <w:left w:val="single" w:sz="4" w:space="0" w:color="076283"/>
              <w:bottom w:val="single" w:sz="4" w:space="0" w:color="076283"/>
              <w:right w:val="single" w:sz="4" w:space="0" w:color="076283"/>
            </w:tcBorders>
          </w:tcPr>
          <w:p w14:paraId="34E9FA76" w14:textId="77777777" w:rsidR="00CB7638" w:rsidRPr="00606CDC" w:rsidRDefault="00CB7638" w:rsidP="00CB7638">
            <w:pPr>
              <w:pStyle w:val="TableText"/>
              <w:spacing w:before="120" w:after="0"/>
              <w:rPr>
                <w:b/>
                <w:lang w:val="en-NZ"/>
              </w:rPr>
            </w:pPr>
            <w:r w:rsidRPr="00606CDC">
              <w:rPr>
                <w:b/>
                <w:lang w:val="en-NZ"/>
              </w:rPr>
              <w:t>Manufacturing steps</w:t>
            </w:r>
          </w:p>
          <w:p w14:paraId="0F3A51B8" w14:textId="77777777" w:rsidR="00CB7638" w:rsidRPr="00606CDC" w:rsidRDefault="00CB7638" w:rsidP="00CB7638">
            <w:pPr>
              <w:pStyle w:val="TableText"/>
              <w:spacing w:before="0"/>
              <w:rPr>
                <w:lang w:val="en-NZ"/>
              </w:rPr>
            </w:pPr>
            <w:r w:rsidRPr="00606CDC">
              <w:rPr>
                <w:noProof/>
                <w:lang w:eastAsia="en-NZ"/>
              </w:rPr>
              <w:drawing>
                <wp:inline distT="0" distB="0" distL="0" distR="0" wp14:anchorId="31273A3F" wp14:editId="48F25469">
                  <wp:extent cx="5278582" cy="4994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8807" cy="510811"/>
                          </a:xfrm>
                          <a:prstGeom prst="rect">
                            <a:avLst/>
                          </a:prstGeom>
                          <a:noFill/>
                          <a:ln>
                            <a:noFill/>
                          </a:ln>
                        </pic:spPr>
                      </pic:pic>
                    </a:graphicData>
                  </a:graphic>
                </wp:inline>
              </w:drawing>
            </w:r>
          </w:p>
          <w:p w14:paraId="4B5DB2F2" w14:textId="77777777" w:rsidR="00CB7638" w:rsidRPr="00606CDC" w:rsidRDefault="00CB7638" w:rsidP="00CB7638">
            <w:pPr>
              <w:pStyle w:val="TableText"/>
              <w:rPr>
                <w:lang w:val="en-NZ"/>
              </w:rPr>
            </w:pPr>
            <w:r w:rsidRPr="00606CDC">
              <w:rPr>
                <w:lang w:val="en-NZ"/>
              </w:rPr>
              <w:t>This manufacturer</w:t>
            </w:r>
            <w:r w:rsidR="00606CDC" w:rsidRPr="00606CDC">
              <w:rPr>
                <w:lang w:val="en-NZ"/>
              </w:rPr>
              <w:t>’</w:t>
            </w:r>
            <w:r w:rsidRPr="00606CDC">
              <w:rPr>
                <w:lang w:val="en-NZ"/>
              </w:rPr>
              <w:t>s starting point for implementing the GMP Code is at extraction.</w:t>
            </w:r>
          </w:p>
          <w:p w14:paraId="64A6C31B" w14:textId="77777777" w:rsidR="00CB7638" w:rsidRPr="00606CDC" w:rsidRDefault="00CB7638" w:rsidP="00CB7638">
            <w:pPr>
              <w:pStyle w:val="TableText"/>
              <w:rPr>
                <w:lang w:val="en-NZ"/>
              </w:rPr>
            </w:pPr>
            <w:r w:rsidRPr="00606CDC">
              <w:rPr>
                <w:lang w:val="en-NZ"/>
              </w:rPr>
              <w:t>In this example, the rationale for implementing the GMP Code at extraction is based on the importance of this step in separating the desirable cannabinoids from the plant matrix. This step has a direct impact on the finished product quality.</w:t>
            </w:r>
          </w:p>
          <w:p w14:paraId="6C97D0CD" w14:textId="77777777" w:rsidR="00CB7638" w:rsidRPr="00606CDC" w:rsidRDefault="00CB7638" w:rsidP="00CB7638">
            <w:pPr>
              <w:pStyle w:val="TableText"/>
              <w:rPr>
                <w:lang w:val="en-NZ"/>
              </w:rPr>
            </w:pPr>
            <w:r w:rsidRPr="00606CDC">
              <w:rPr>
                <w:lang w:val="en-NZ"/>
              </w:rPr>
              <w:t>This manufacturer should continue implementing the GMP Code during all the following manufacturing steps to reduce risks that could impact product quality. Examples of such risks are the risk of introducing contaminants and the risk of there being excess solvents left over from the extraction process.</w:t>
            </w:r>
          </w:p>
        </w:tc>
      </w:tr>
    </w:tbl>
    <w:p w14:paraId="7D157DDF" w14:textId="77777777" w:rsidR="00F7308E" w:rsidRPr="005035FF" w:rsidRDefault="00F7308E" w:rsidP="009A27DA">
      <w:pPr>
        <w:rPr>
          <w:rFonts w:cs="Arial"/>
        </w:rPr>
      </w:pPr>
    </w:p>
    <w:tbl>
      <w:tblPr>
        <w:tblStyle w:val="TableGrid"/>
        <w:tblW w:w="0" w:type="auto"/>
        <w:tblInd w:w="108"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Look w:val="04A0" w:firstRow="1" w:lastRow="0" w:firstColumn="1" w:lastColumn="0" w:noHBand="0" w:noVBand="1"/>
      </w:tblPr>
      <w:tblGrid>
        <w:gridCol w:w="8740"/>
      </w:tblGrid>
      <w:tr w:rsidR="009A27DA" w:rsidRPr="009A27DA" w14:paraId="3224D486" w14:textId="77777777" w:rsidTr="009A27DA">
        <w:trPr>
          <w:cantSplit/>
        </w:trPr>
        <w:tc>
          <w:tcPr>
            <w:tcW w:w="8740" w:type="dxa"/>
            <w:shd w:val="clear" w:color="auto" w:fill="076283"/>
          </w:tcPr>
          <w:p w14:paraId="3C8AC142" w14:textId="77777777" w:rsidR="00F7308E" w:rsidRPr="00606CDC" w:rsidRDefault="00F7308E" w:rsidP="009A27DA">
            <w:pPr>
              <w:pStyle w:val="TableText"/>
              <w:keepNext/>
              <w:rPr>
                <w:b/>
                <w:color w:val="FFFFFF" w:themeColor="background1"/>
                <w:lang w:val="en-NZ"/>
              </w:rPr>
            </w:pPr>
            <w:r w:rsidRPr="00606CDC">
              <w:rPr>
                <w:b/>
                <w:color w:val="FFFFFF" w:themeColor="background1"/>
                <w:lang w:val="en-NZ"/>
              </w:rPr>
              <w:lastRenderedPageBreak/>
              <w:t>Example 2: Dosage form – milled cannabis in a hard-shell capsule</w:t>
            </w:r>
          </w:p>
        </w:tc>
      </w:tr>
      <w:tr w:rsidR="009A27DA" w:rsidRPr="005035FF" w14:paraId="63AC105A" w14:textId="77777777" w:rsidTr="009A27DA">
        <w:trPr>
          <w:cantSplit/>
        </w:trPr>
        <w:tc>
          <w:tcPr>
            <w:tcW w:w="8740" w:type="dxa"/>
          </w:tcPr>
          <w:p w14:paraId="49F9E076" w14:textId="77777777" w:rsidR="009A27DA" w:rsidRPr="00606CDC" w:rsidRDefault="009A27DA" w:rsidP="009A27DA">
            <w:pPr>
              <w:pStyle w:val="TableText"/>
              <w:spacing w:before="120" w:after="0"/>
              <w:rPr>
                <w:b/>
                <w:lang w:val="en-NZ"/>
              </w:rPr>
            </w:pPr>
            <w:r w:rsidRPr="00606CDC">
              <w:rPr>
                <w:b/>
                <w:lang w:val="en-NZ"/>
              </w:rPr>
              <w:t>Manufacturing steps</w:t>
            </w:r>
          </w:p>
          <w:p w14:paraId="1224E929" w14:textId="77777777" w:rsidR="009A27DA" w:rsidRPr="00606CDC" w:rsidRDefault="009A27DA" w:rsidP="009A27DA">
            <w:pPr>
              <w:pStyle w:val="TableText"/>
              <w:rPr>
                <w:lang w:val="en-NZ"/>
              </w:rPr>
            </w:pPr>
            <w:r w:rsidRPr="00606CDC">
              <w:rPr>
                <w:noProof/>
                <w:lang w:eastAsia="en-NZ"/>
              </w:rPr>
              <w:drawing>
                <wp:inline distT="0" distB="0" distL="0" distR="0" wp14:anchorId="139D0B9A" wp14:editId="0AD2C30E">
                  <wp:extent cx="4114800" cy="54449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3008" cy="544257"/>
                          </a:xfrm>
                          <a:prstGeom prst="rect">
                            <a:avLst/>
                          </a:prstGeom>
                          <a:noFill/>
                          <a:ln>
                            <a:noFill/>
                          </a:ln>
                        </pic:spPr>
                      </pic:pic>
                    </a:graphicData>
                  </a:graphic>
                </wp:inline>
              </w:drawing>
            </w:r>
          </w:p>
          <w:p w14:paraId="2D1178A7" w14:textId="77777777" w:rsidR="009A27DA" w:rsidRPr="00606CDC" w:rsidRDefault="009A27DA" w:rsidP="009A27DA">
            <w:pPr>
              <w:pStyle w:val="TableText"/>
              <w:rPr>
                <w:lang w:val="en-NZ"/>
              </w:rPr>
            </w:pPr>
            <w:r w:rsidRPr="00606CDC">
              <w:rPr>
                <w:lang w:val="en-NZ"/>
              </w:rPr>
              <w:t>This manufacturer</w:t>
            </w:r>
            <w:r w:rsidR="00606CDC" w:rsidRPr="00606CDC">
              <w:rPr>
                <w:lang w:val="en-NZ"/>
              </w:rPr>
              <w:t>’</w:t>
            </w:r>
            <w:r w:rsidRPr="00606CDC">
              <w:rPr>
                <w:lang w:val="en-NZ"/>
              </w:rPr>
              <w:t>s starting point for implementing the GMP Code is at drying.</w:t>
            </w:r>
          </w:p>
          <w:p w14:paraId="124E5F56" w14:textId="77777777" w:rsidR="009A27DA" w:rsidRPr="00606CDC" w:rsidRDefault="009A27DA" w:rsidP="009A27DA">
            <w:pPr>
              <w:pStyle w:val="TableText"/>
              <w:rPr>
                <w:lang w:val="en-NZ"/>
              </w:rPr>
            </w:pPr>
            <w:r w:rsidRPr="00606CDC">
              <w:rPr>
                <w:lang w:val="en-NZ"/>
              </w:rPr>
              <w:t>The rationale for implementing the GMP Code at the drying step is to ensure moisture levels do not have an adverse impact on product quality. GMP should also be implemented during subsequent steps to reduce risks that could impact product quality.</w:t>
            </w:r>
          </w:p>
        </w:tc>
      </w:tr>
    </w:tbl>
    <w:p w14:paraId="5AFC29AE" w14:textId="77777777" w:rsidR="009A27DA" w:rsidRDefault="009A27DA" w:rsidP="009A27DA"/>
    <w:p w14:paraId="16D7E203" w14:textId="026262B4" w:rsidR="00F7308E" w:rsidRPr="005035FF" w:rsidRDefault="00F7308E" w:rsidP="009A27DA">
      <w:pPr>
        <w:spacing w:after="240"/>
      </w:pPr>
    </w:p>
    <w:tbl>
      <w:tblPr>
        <w:tblStyle w:val="TableGrid"/>
        <w:tblW w:w="0" w:type="auto"/>
        <w:tblInd w:w="57"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57" w:type="dxa"/>
          <w:right w:w="57" w:type="dxa"/>
        </w:tblCellMar>
        <w:tblLook w:val="04A0" w:firstRow="1" w:lastRow="0" w:firstColumn="1" w:lastColumn="0" w:noHBand="0" w:noVBand="1"/>
      </w:tblPr>
      <w:tblGrid>
        <w:gridCol w:w="8740"/>
      </w:tblGrid>
      <w:tr w:rsidR="009A27DA" w:rsidRPr="009A27DA" w14:paraId="54A52CCB" w14:textId="77777777" w:rsidTr="009A27DA">
        <w:trPr>
          <w:cantSplit/>
        </w:trPr>
        <w:tc>
          <w:tcPr>
            <w:tcW w:w="8740" w:type="dxa"/>
            <w:shd w:val="clear" w:color="auto" w:fill="076283"/>
          </w:tcPr>
          <w:p w14:paraId="730652D8" w14:textId="77777777" w:rsidR="00F7308E" w:rsidRPr="00606CDC" w:rsidRDefault="00F7308E" w:rsidP="009A27DA">
            <w:pPr>
              <w:pStyle w:val="TableText"/>
              <w:rPr>
                <w:b/>
                <w:color w:val="FFFFFF" w:themeColor="background1"/>
                <w:lang w:val="en-NZ"/>
              </w:rPr>
            </w:pPr>
            <w:r w:rsidRPr="00606CDC">
              <w:rPr>
                <w:b/>
                <w:color w:val="FFFFFF" w:themeColor="background1"/>
                <w:lang w:val="en-NZ"/>
              </w:rPr>
              <w:t>Example 3: Dosage form – dried cannabis flower</w:t>
            </w:r>
          </w:p>
        </w:tc>
      </w:tr>
      <w:tr w:rsidR="009A27DA" w:rsidRPr="005035FF" w14:paraId="7042FAD4" w14:textId="77777777" w:rsidTr="009A27DA">
        <w:trPr>
          <w:cantSplit/>
        </w:trPr>
        <w:tc>
          <w:tcPr>
            <w:tcW w:w="8740" w:type="dxa"/>
          </w:tcPr>
          <w:p w14:paraId="5FB43931" w14:textId="77777777" w:rsidR="009A27DA" w:rsidRPr="00606CDC" w:rsidRDefault="009A27DA" w:rsidP="009A27DA">
            <w:pPr>
              <w:pStyle w:val="TableText"/>
              <w:spacing w:before="120" w:after="0"/>
              <w:rPr>
                <w:b/>
                <w:lang w:val="en-NZ"/>
              </w:rPr>
            </w:pPr>
            <w:r w:rsidRPr="00606CDC">
              <w:rPr>
                <w:b/>
                <w:lang w:val="en-NZ"/>
              </w:rPr>
              <w:t>Manufacturing steps</w:t>
            </w:r>
          </w:p>
          <w:p w14:paraId="2002F7A7" w14:textId="77777777" w:rsidR="009A27DA" w:rsidRPr="00606CDC" w:rsidRDefault="009A27DA" w:rsidP="009A27DA">
            <w:pPr>
              <w:pStyle w:val="TableText"/>
              <w:rPr>
                <w:lang w:val="en-NZ"/>
              </w:rPr>
            </w:pPr>
            <w:r w:rsidRPr="00606CDC">
              <w:rPr>
                <w:noProof/>
                <w:lang w:eastAsia="en-NZ"/>
              </w:rPr>
              <w:drawing>
                <wp:inline distT="0" distB="0" distL="0" distR="0" wp14:anchorId="529194BA" wp14:editId="36037697">
                  <wp:extent cx="2503177" cy="565265"/>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3751" cy="565395"/>
                          </a:xfrm>
                          <a:prstGeom prst="rect">
                            <a:avLst/>
                          </a:prstGeom>
                          <a:noFill/>
                          <a:ln>
                            <a:noFill/>
                          </a:ln>
                        </pic:spPr>
                      </pic:pic>
                    </a:graphicData>
                  </a:graphic>
                </wp:inline>
              </w:drawing>
            </w:r>
          </w:p>
          <w:p w14:paraId="2CE375E5" w14:textId="77777777" w:rsidR="009A27DA" w:rsidRPr="00606CDC" w:rsidRDefault="009A27DA" w:rsidP="009A27DA">
            <w:pPr>
              <w:pStyle w:val="TableText"/>
              <w:rPr>
                <w:lang w:val="en-NZ"/>
              </w:rPr>
            </w:pPr>
            <w:r w:rsidRPr="00606CDC">
              <w:rPr>
                <w:lang w:val="en-NZ"/>
              </w:rPr>
              <w:t>This manufacturer</w:t>
            </w:r>
            <w:r w:rsidR="00606CDC" w:rsidRPr="00606CDC">
              <w:rPr>
                <w:lang w:val="en-NZ"/>
              </w:rPr>
              <w:t>’</w:t>
            </w:r>
            <w:r w:rsidRPr="00606CDC">
              <w:rPr>
                <w:lang w:val="en-NZ"/>
              </w:rPr>
              <w:t>s starting point for implementing the GMP Code is at drying.</w:t>
            </w:r>
          </w:p>
          <w:p w14:paraId="2D2E9CD2" w14:textId="77777777" w:rsidR="009A27DA" w:rsidRPr="00606CDC" w:rsidRDefault="009A27DA" w:rsidP="009A27DA">
            <w:pPr>
              <w:pStyle w:val="TableText"/>
              <w:rPr>
                <w:lang w:val="en-NZ"/>
              </w:rPr>
            </w:pPr>
            <w:r w:rsidRPr="00606CDC">
              <w:rPr>
                <w:lang w:val="en-NZ"/>
              </w:rPr>
              <w:t>The rationale for implementing the GMP Code at the drying step is to ensure moisture levels are controlled to prevent mould proliferation. GMP should also be implemented during the subsequent step to reduce risks that could impact product quality.</w:t>
            </w:r>
          </w:p>
        </w:tc>
      </w:tr>
    </w:tbl>
    <w:p w14:paraId="549D8F59" w14:textId="77777777" w:rsidR="00F7308E" w:rsidRPr="005035FF" w:rsidRDefault="00F7308E" w:rsidP="00F7308E">
      <w:pPr>
        <w:rPr>
          <w:rFonts w:cs="Arial"/>
        </w:rPr>
      </w:pPr>
    </w:p>
    <w:p w14:paraId="6DD558B2" w14:textId="77777777" w:rsidR="00F7308E" w:rsidRPr="005035FF" w:rsidRDefault="00F7308E" w:rsidP="00F7308E">
      <w:bookmarkStart w:id="31" w:name="2.2.__Label_content_requirements_for_med"/>
      <w:bookmarkStart w:id="32" w:name="_bookmark0"/>
      <w:bookmarkStart w:id="33" w:name="Section_3:__Obtaining_approval_for_new_a"/>
      <w:bookmarkStart w:id="34" w:name="3.1._When_is_approval_required_for_a_lab"/>
      <w:bookmarkStart w:id="35" w:name="Section_4:__Best_practice_guidance_on_la"/>
      <w:bookmarkStart w:id="36" w:name="_bookmark9"/>
      <w:bookmarkStart w:id="37" w:name="_Section_3:What_needs"/>
      <w:bookmarkEnd w:id="31"/>
      <w:bookmarkEnd w:id="32"/>
      <w:bookmarkEnd w:id="33"/>
      <w:bookmarkEnd w:id="34"/>
      <w:bookmarkEnd w:id="35"/>
      <w:bookmarkEnd w:id="36"/>
      <w:bookmarkEnd w:id="37"/>
    </w:p>
    <w:p w14:paraId="2CB8901D" w14:textId="77777777" w:rsidR="00F7308E" w:rsidRPr="005035FF" w:rsidRDefault="00F7308E" w:rsidP="009A27DA">
      <w:pPr>
        <w:pStyle w:val="Heading1"/>
      </w:pPr>
      <w:bookmarkStart w:id="38" w:name="_Toc36535171"/>
      <w:bookmarkStart w:id="39" w:name="_Toc37024331"/>
      <w:r w:rsidRPr="005035FF">
        <w:lastRenderedPageBreak/>
        <w:t>How to prepare for an audit against the GMP Code</w:t>
      </w:r>
      <w:bookmarkEnd w:id="38"/>
      <w:bookmarkEnd w:id="39"/>
    </w:p>
    <w:p w14:paraId="3F7D6E4B" w14:textId="77777777" w:rsidR="00F7308E" w:rsidRPr="005035FF" w:rsidRDefault="00F7308E" w:rsidP="009A27DA">
      <w:r w:rsidRPr="005035FF">
        <w:t>This section provides general guidance to help you prepare for an audit against the GMP Code. The audit is part of the assessment for a Licence to Manufacture Medicines or a Licence to Pack Medicines under the Medicines Act 1981.</w:t>
      </w:r>
    </w:p>
    <w:p w14:paraId="49FD1135" w14:textId="46F75F55" w:rsidR="00F7308E" w:rsidRPr="005035FF" w:rsidRDefault="00F7308E" w:rsidP="009A27DA">
      <w:r w:rsidRPr="005035FF">
        <w:t xml:space="preserve">Please note that even if you implement the systems described in this section, it may not be enough in all cases to achieve full compliance with the GMP Code. You should develop a good understanding of all aspects of the GMP Code </w:t>
      </w:r>
      <w:r w:rsidRPr="00DF47EC">
        <w:rPr>
          <w:b/>
        </w:rPr>
        <w:t>before</w:t>
      </w:r>
      <w:r w:rsidR="009A27DA">
        <w:t xml:space="preserve"> you apply for a licence.</w:t>
      </w:r>
      <w:r w:rsidR="00DC1544">
        <w:t xml:space="preserve">  </w:t>
      </w:r>
    </w:p>
    <w:p w14:paraId="0C89EF8E" w14:textId="77777777" w:rsidR="00F7308E" w:rsidRPr="005035FF" w:rsidRDefault="00F7308E" w:rsidP="009A27DA">
      <w:pPr>
        <w:pStyle w:val="Heading2"/>
      </w:pPr>
      <w:bookmarkStart w:id="40" w:name="_Toc36535172"/>
      <w:bookmarkStart w:id="41" w:name="_Toc37024332"/>
      <w:r w:rsidRPr="005035FF">
        <w:t>Quality management system</w:t>
      </w:r>
      <w:bookmarkEnd w:id="40"/>
      <w:bookmarkEnd w:id="41"/>
    </w:p>
    <w:p w14:paraId="22B7D123" w14:textId="77777777" w:rsidR="00F7308E" w:rsidRPr="005035FF" w:rsidRDefault="00F7308E" w:rsidP="009A27DA">
      <w:r w:rsidRPr="005035FF">
        <w:t>Design and implement a quality management system (QMS) to cover all activities involved in manufacturing and packi</w:t>
      </w:r>
      <w:r w:rsidR="009A27DA">
        <w:t>ng medicinal cannabis products.</w:t>
      </w:r>
    </w:p>
    <w:p w14:paraId="00DEE830" w14:textId="77777777" w:rsidR="00F7308E" w:rsidRPr="005035FF" w:rsidRDefault="00F7308E" w:rsidP="009A27DA">
      <w:r w:rsidRPr="005035FF">
        <w:t xml:space="preserve">The QMS will include a documentation system in which processes are clearly defined using standard operating procedures, </w:t>
      </w:r>
      <w:proofErr w:type="gramStart"/>
      <w:r w:rsidRPr="005035FF">
        <w:t>specifications</w:t>
      </w:r>
      <w:proofErr w:type="gramEnd"/>
      <w:r w:rsidRPr="005035FF">
        <w:t xml:space="preserve"> and batch records.</w:t>
      </w:r>
    </w:p>
    <w:p w14:paraId="027E1CF5" w14:textId="77777777" w:rsidR="00F7308E" w:rsidRPr="005035FF" w:rsidRDefault="00F7308E" w:rsidP="009A27DA">
      <w:r w:rsidRPr="005035FF">
        <w:t>A robust change control system is one of the key components of any QMS. This will ensure that manufacturers assess all process changes for their impact on product quality before implementation, apply appropriate controls and identify any requirements for requalification and revalidation.</w:t>
      </w:r>
    </w:p>
    <w:p w14:paraId="3B299A3A" w14:textId="5B0A0D3E" w:rsidR="00F7308E" w:rsidRPr="005035FF" w:rsidRDefault="00F7308E" w:rsidP="009A27DA">
      <w:r w:rsidRPr="005035FF">
        <w:t>Changes that have the potential to affect product quality may include, for example, changes to starting material, packaging materials, equipment, manufacturing processes, test methods, batch size, facilities</w:t>
      </w:r>
      <w:r w:rsidR="00C6604E">
        <w:t>, and key personnel</w:t>
      </w:r>
      <w:r w:rsidRPr="005035FF">
        <w:t>.</w:t>
      </w:r>
    </w:p>
    <w:p w14:paraId="460E8363" w14:textId="2BAADBB7" w:rsidR="00F7308E" w:rsidRPr="005035FF" w:rsidRDefault="00F7308E" w:rsidP="009A27DA">
      <w:r w:rsidRPr="005035FF">
        <w:t xml:space="preserve">For more information about QMS systems, see Part </w:t>
      </w:r>
      <w:r w:rsidR="00511891">
        <w:t>I</w:t>
      </w:r>
      <w:r w:rsidRPr="005035FF">
        <w:t xml:space="preserve"> of the GMP Code.</w:t>
      </w:r>
    </w:p>
    <w:p w14:paraId="35D3562A" w14:textId="77777777" w:rsidR="00F7308E" w:rsidRPr="005035FF" w:rsidRDefault="00F7308E" w:rsidP="009A27DA">
      <w:pPr>
        <w:pStyle w:val="Heading2"/>
      </w:pPr>
      <w:bookmarkStart w:id="42" w:name="_Toc36535173"/>
      <w:bookmarkStart w:id="43" w:name="_Toc37024333"/>
      <w:r w:rsidRPr="005035FF">
        <w:t>Premises and equipment</w:t>
      </w:r>
      <w:bookmarkEnd w:id="42"/>
      <w:bookmarkEnd w:id="43"/>
    </w:p>
    <w:p w14:paraId="079D6400" w14:textId="58FCEAFA" w:rsidR="00F7308E" w:rsidRPr="005035FF" w:rsidRDefault="00F7308E" w:rsidP="009A27DA">
      <w:pPr>
        <w:keepNext/>
      </w:pPr>
      <w:r w:rsidRPr="005035FF">
        <w:t>The GMP  audit will assess all facilities and equipment you use to manufacture, store and test medicinal cannabis products. Before the audit begins, you should set up all facilities and equipment so that they are ready to use.</w:t>
      </w:r>
    </w:p>
    <w:p w14:paraId="3C120634" w14:textId="77777777" w:rsidR="00F7308E" w:rsidRPr="005035FF" w:rsidRDefault="00F7308E" w:rsidP="009A27DA">
      <w:pPr>
        <w:keepNext/>
      </w:pPr>
      <w:r w:rsidRPr="005035FF">
        <w:t>You should also have completed the qualification of equipment and facilities and documented it before the audit, in line with Annex 15 of the GMP Code (Qualification and validation). Your qualification documents and any supporting data should be available for review.</w:t>
      </w:r>
    </w:p>
    <w:p w14:paraId="1A84C731" w14:textId="77777777" w:rsidR="00F7308E" w:rsidRPr="005035FF" w:rsidRDefault="00F7308E" w:rsidP="009A27DA">
      <w:r w:rsidRPr="005035FF">
        <w:t xml:space="preserve">You should have established cleaning, </w:t>
      </w:r>
      <w:proofErr w:type="gramStart"/>
      <w:r w:rsidRPr="005035FF">
        <w:t>calibration</w:t>
      </w:r>
      <w:proofErr w:type="gramEnd"/>
      <w:r w:rsidRPr="005035FF">
        <w:t xml:space="preserve"> and preventative maintenance programmes, with procedures and records available for review at the audit.</w:t>
      </w:r>
    </w:p>
    <w:p w14:paraId="72DA7585" w14:textId="77777777" w:rsidR="00F7308E" w:rsidRPr="005035FF" w:rsidRDefault="00F7308E" w:rsidP="009A27DA">
      <w:r w:rsidRPr="005035FF">
        <w:lastRenderedPageBreak/>
        <w:t>You must also have a separate audit to assess security for facilities where you intend to manufacture medicinal cannabis products. For information on security requirements and the security site inspection, see</w:t>
      </w:r>
      <w:r w:rsidR="00606CDC">
        <w:t xml:space="preserve"> </w:t>
      </w:r>
      <w:hyperlink r:id="rId26" w:history="1">
        <w:r w:rsidRPr="006A64AF">
          <w:rPr>
            <w:rStyle w:val="Hyperlink"/>
            <w:rFonts w:cs="Arial"/>
          </w:rPr>
          <w:t>security of cannabis</w:t>
        </w:r>
      </w:hyperlink>
      <w:r>
        <w:t xml:space="preserve"> on the</w:t>
      </w:r>
      <w:r w:rsidRPr="005035FF">
        <w:t xml:space="preserve"> </w:t>
      </w:r>
      <w:r w:rsidRPr="00FF63A6">
        <w:t>Medicinal Cannabis Agency</w:t>
      </w:r>
      <w:r w:rsidR="00606CDC">
        <w:t>’</w:t>
      </w:r>
      <w:r w:rsidRPr="00FF63A6">
        <w:t>s website.</w:t>
      </w:r>
    </w:p>
    <w:p w14:paraId="41DB5D89" w14:textId="77777777" w:rsidR="00F7308E" w:rsidRPr="005035FF" w:rsidRDefault="00F7308E" w:rsidP="009A27DA">
      <w:pPr>
        <w:pStyle w:val="Heading2"/>
      </w:pPr>
      <w:bookmarkStart w:id="44" w:name="_Toc36535174"/>
      <w:bookmarkStart w:id="45" w:name="_Toc37024334"/>
      <w:r w:rsidRPr="005035FF">
        <w:t>Product development must be complete</w:t>
      </w:r>
      <w:bookmarkEnd w:id="44"/>
      <w:bookmarkEnd w:id="45"/>
    </w:p>
    <w:p w14:paraId="17A0321B" w14:textId="77777777" w:rsidR="00F7308E" w:rsidRPr="005035FF" w:rsidRDefault="00F7308E" w:rsidP="009A27DA">
      <w:r w:rsidRPr="005035FF">
        <w:t>By the time of the audit, you should have developed your medicinal cannabis product to a point where you have:</w:t>
      </w:r>
    </w:p>
    <w:p w14:paraId="77AEE768" w14:textId="77777777" w:rsidR="00F7308E" w:rsidRPr="005035FF" w:rsidRDefault="00F7308E" w:rsidP="009A27DA">
      <w:pPr>
        <w:pStyle w:val="Bullet"/>
      </w:pPr>
      <w:r w:rsidRPr="005035FF">
        <w:t>defined a manufacturing batch</w:t>
      </w:r>
    </w:p>
    <w:p w14:paraId="0BF08A6E" w14:textId="77777777" w:rsidR="00F7308E" w:rsidRPr="005035FF" w:rsidRDefault="00F7308E" w:rsidP="009A27DA">
      <w:pPr>
        <w:pStyle w:val="Bullet"/>
      </w:pPr>
      <w:r w:rsidRPr="005035FF">
        <w:t>developed specifications for the raw materials, finished product and primary packaging components</w:t>
      </w:r>
    </w:p>
    <w:p w14:paraId="25FB4500" w14:textId="77777777" w:rsidR="00F7308E" w:rsidRPr="005035FF" w:rsidRDefault="00F7308E" w:rsidP="009A27DA">
      <w:pPr>
        <w:pStyle w:val="Bullet"/>
      </w:pPr>
      <w:r w:rsidRPr="005035FF">
        <w:t>established the manufacturing process and written standard operating procedures</w:t>
      </w:r>
    </w:p>
    <w:p w14:paraId="3392DCD4" w14:textId="77777777" w:rsidR="00F7308E" w:rsidRPr="005035FF" w:rsidRDefault="00F7308E" w:rsidP="009A27DA">
      <w:pPr>
        <w:pStyle w:val="Bullet"/>
      </w:pPr>
      <w:r w:rsidRPr="005035FF">
        <w:t>established the control points and critical parameters for the process</w:t>
      </w:r>
    </w:p>
    <w:p w14:paraId="242E83F7" w14:textId="77777777" w:rsidR="00F7308E" w:rsidRPr="005035FF" w:rsidRDefault="00F7308E" w:rsidP="009A27DA">
      <w:pPr>
        <w:pStyle w:val="Bullet"/>
      </w:pPr>
      <w:r w:rsidRPr="005035FF">
        <w:t>finalised batch manufacturing and packing records.</w:t>
      </w:r>
    </w:p>
    <w:p w14:paraId="27895121" w14:textId="77777777" w:rsidR="00F7308E" w:rsidRPr="005035FF" w:rsidRDefault="00F7308E" w:rsidP="009A27DA">
      <w:pPr>
        <w:pStyle w:val="Heading2"/>
      </w:pPr>
      <w:bookmarkStart w:id="46" w:name="_Toc36535175"/>
      <w:bookmarkStart w:id="47" w:name="_Toc37024335"/>
      <w:r w:rsidRPr="005035FF">
        <w:t>Process validation</w:t>
      </w:r>
      <w:bookmarkEnd w:id="46"/>
      <w:bookmarkEnd w:id="47"/>
    </w:p>
    <w:p w14:paraId="59FA33E1" w14:textId="169FC4AC" w:rsidR="00F7308E" w:rsidRPr="005035FF" w:rsidRDefault="00F7308E" w:rsidP="009A27DA">
      <w:pPr>
        <w:keepNext/>
      </w:pPr>
      <w:r w:rsidRPr="005035FF">
        <w:t xml:space="preserve">Process validation ensures all manufacturing processes for a medicinal cannabis product meet the predefined acceptance criteria. </w:t>
      </w:r>
      <w:r w:rsidR="004D3914">
        <w:t>Ideally y</w:t>
      </w:r>
      <w:r w:rsidRPr="005035FF">
        <w:t>ou should have completed all process validations before the audit against the GMP Code and have the associated documents and supporting data available for review.</w:t>
      </w:r>
    </w:p>
    <w:p w14:paraId="1F6D8815" w14:textId="480A5868" w:rsidR="00030746" w:rsidRPr="005035FF" w:rsidRDefault="00F7308E" w:rsidP="009A27DA">
      <w:pPr>
        <w:keepNext/>
      </w:pPr>
      <w:r w:rsidRPr="005035FF">
        <w:t>Process validation is different to the trials and testing completed during product development. By the time you are ready to carry out process validation, you should not need to make any</w:t>
      </w:r>
      <w:r w:rsidR="009A27DA">
        <w:t xml:space="preserve"> changes or adjustments.</w:t>
      </w:r>
    </w:p>
    <w:p w14:paraId="5344628B" w14:textId="7FBF3D55" w:rsidR="00F7308E" w:rsidRPr="005035FF" w:rsidRDefault="00F7308E" w:rsidP="009A27DA">
      <w:pPr>
        <w:spacing w:after="240"/>
      </w:pPr>
      <w:r w:rsidRPr="005035FF">
        <w:t>For guidance on process validation, see Annex 15 of the GMP Code</w:t>
      </w:r>
      <w:r w:rsidRPr="005035FF">
        <w:rPr>
          <w:i/>
        </w:rPr>
        <w:t xml:space="preserve"> </w:t>
      </w:r>
      <w:r w:rsidRPr="005035FF">
        <w:t>(Qualification and validation).</w:t>
      </w:r>
      <w:r w:rsidR="004D3914">
        <w:t xml:space="preserve"> </w:t>
      </w:r>
    </w:p>
    <w:p w14:paraId="00F12D82" w14:textId="609C2A12" w:rsidR="00084151" w:rsidRDefault="009A27DA" w:rsidP="009A27DA">
      <w:pPr>
        <w:pStyle w:val="Box"/>
      </w:pPr>
      <w:r w:rsidRPr="005035FF">
        <w:rPr>
          <w:b/>
        </w:rPr>
        <w:t>Note:</w:t>
      </w:r>
      <w:r w:rsidRPr="005035FF">
        <w:t xml:space="preserve"> </w:t>
      </w:r>
      <w:r w:rsidR="00084151">
        <w:t>Where you have manufactured medicinal cannabis product before Medsafe has issued your Licence to Manufacture Medicine, you can only use that product for laboratory testing and not for patient use. Concurrent process validation may be acceptable when a GMP audit has already confirmed a site is operating in accordance with the GMP Code. Product manufactured to support concurrent validation may subsequently be distributed following successful completion of the validation studies. Conditions would be placed on a Licence to Manufacture Medicines to this effect.</w:t>
      </w:r>
    </w:p>
    <w:p w14:paraId="18481856" w14:textId="77777777" w:rsidR="00084151" w:rsidRDefault="00084151" w:rsidP="009A27DA">
      <w:pPr>
        <w:pStyle w:val="Box"/>
      </w:pPr>
    </w:p>
    <w:p w14:paraId="7185594A" w14:textId="00095E76" w:rsidR="00F7308E" w:rsidRDefault="00F7308E" w:rsidP="009A27DA">
      <w:r w:rsidRPr="005035FF">
        <w:t xml:space="preserve">If you make any process or equipment changes after validation, you should control, </w:t>
      </w:r>
      <w:proofErr w:type="gramStart"/>
      <w:r w:rsidRPr="005035FF">
        <w:t>assess</w:t>
      </w:r>
      <w:proofErr w:type="gramEnd"/>
      <w:r w:rsidRPr="005035FF">
        <w:t xml:space="preserve"> and document them using the change control process in the QMS. The impact of the change on the process validation should be included in the assessment and re-validation might be required.</w:t>
      </w:r>
    </w:p>
    <w:p w14:paraId="753A6ED0" w14:textId="2A8BCA0F" w:rsidR="00805141" w:rsidRPr="00805141" w:rsidRDefault="00805141" w:rsidP="00805141">
      <w:pPr>
        <w:spacing w:before="0" w:line="240" w:lineRule="auto"/>
        <w:rPr>
          <w:rFonts w:ascii="Arial" w:hAnsi="Arial" w:cs="Arial"/>
          <w:szCs w:val="22"/>
          <w:lang w:eastAsia="en-NZ"/>
        </w:rPr>
      </w:pPr>
    </w:p>
    <w:p w14:paraId="02797AA3" w14:textId="09626150" w:rsidR="004D3914" w:rsidRDefault="004D3914" w:rsidP="009A27DA"/>
    <w:p w14:paraId="1E3BEDA2" w14:textId="6D180C17" w:rsidR="004D3914" w:rsidRPr="005035FF" w:rsidRDefault="004D3914" w:rsidP="009A27DA"/>
    <w:p w14:paraId="23BF6B57" w14:textId="77777777" w:rsidR="00F7308E" w:rsidRPr="005035FF" w:rsidRDefault="00F7308E" w:rsidP="009A27DA">
      <w:pPr>
        <w:pStyle w:val="Heading2"/>
      </w:pPr>
      <w:bookmarkStart w:id="48" w:name="_Toc36535176"/>
      <w:bookmarkStart w:id="49" w:name="_Toc37024336"/>
      <w:r w:rsidRPr="005035FF">
        <w:lastRenderedPageBreak/>
        <w:t>Site master file</w:t>
      </w:r>
      <w:bookmarkEnd w:id="48"/>
      <w:bookmarkEnd w:id="49"/>
    </w:p>
    <w:p w14:paraId="0185A693" w14:textId="2C7AAF74" w:rsidR="00F7308E" w:rsidRPr="005035FF" w:rsidRDefault="00F7308E" w:rsidP="009A27DA">
      <w:r w:rsidRPr="005035FF">
        <w:t xml:space="preserve">A site master file (SMF) is a document that provides clear and specific information about the manufacturing operations carried out at a given site. </w:t>
      </w:r>
      <w:r w:rsidR="00DC1544">
        <w:t>A SMF</w:t>
      </w:r>
      <w:r w:rsidRPr="005035FF">
        <w:t xml:space="preserve"> help</w:t>
      </w:r>
      <w:r w:rsidR="00DC1544">
        <w:t>s</w:t>
      </w:r>
      <w:r w:rsidRPr="005035FF">
        <w:t xml:space="preserve"> you to prepare for the application audit and is a useful tool for you to use to check you have considered all aspects of the GMP </w:t>
      </w:r>
      <w:r w:rsidR="009A27DA">
        <w:t>Code when establishing the QMS.</w:t>
      </w:r>
    </w:p>
    <w:p w14:paraId="7F541131" w14:textId="77777777" w:rsidR="009A27DA" w:rsidRDefault="00F7308E" w:rsidP="001F64C6">
      <w:r w:rsidRPr="005035FF">
        <w:rPr>
          <w:rFonts w:cs="Arial"/>
        </w:rPr>
        <w:t>For guidance on the information to include in an SMF, go to the</w:t>
      </w:r>
      <w:r w:rsidR="009A27DA">
        <w:rPr>
          <w:rFonts w:cs="Arial"/>
        </w:rPr>
        <w:t xml:space="preserve"> </w:t>
      </w:r>
      <w:bookmarkStart w:id="50" w:name="_What_are_the"/>
      <w:bookmarkStart w:id="51" w:name="_Section_4:_The"/>
      <w:bookmarkEnd w:id="50"/>
      <w:bookmarkEnd w:id="51"/>
      <w:r>
        <w:fldChar w:fldCharType="begin"/>
      </w:r>
      <w:r>
        <w:instrText>HYPERLINK "https://www.picscheme.org/en/publications"</w:instrText>
      </w:r>
      <w:r>
        <w:fldChar w:fldCharType="separate"/>
      </w:r>
      <w:r>
        <w:rPr>
          <w:rStyle w:val="Hyperlink"/>
        </w:rPr>
        <w:t>Pharmaceutical Inspection Convention Scheme</w:t>
      </w:r>
      <w:r>
        <w:fldChar w:fldCharType="end"/>
      </w:r>
      <w:r>
        <w:t xml:space="preserve"> website.</w:t>
      </w:r>
      <w:bookmarkStart w:id="52" w:name="_Toc36535177"/>
    </w:p>
    <w:p w14:paraId="5724830E" w14:textId="77777777" w:rsidR="00F7308E" w:rsidRPr="005035FF" w:rsidRDefault="00F7308E" w:rsidP="009A27DA">
      <w:pPr>
        <w:pStyle w:val="Heading1"/>
      </w:pPr>
      <w:bookmarkStart w:id="53" w:name="_Toc37024337"/>
      <w:r>
        <w:lastRenderedPageBreak/>
        <w:t>T</w:t>
      </w:r>
      <w:r w:rsidRPr="005035FF">
        <w:t xml:space="preserve">he audit </w:t>
      </w:r>
      <w:proofErr w:type="gramStart"/>
      <w:r w:rsidRPr="005035FF">
        <w:t>process</w:t>
      </w:r>
      <w:bookmarkEnd w:id="52"/>
      <w:bookmarkEnd w:id="53"/>
      <w:proofErr w:type="gramEnd"/>
    </w:p>
    <w:p w14:paraId="2EC49803" w14:textId="77777777" w:rsidR="00F7308E" w:rsidRPr="005035FF" w:rsidRDefault="00F7308E" w:rsidP="001C0FFF">
      <w:r w:rsidRPr="005035FF">
        <w:t>The audit process involves the following seven steps.</w:t>
      </w:r>
    </w:p>
    <w:p w14:paraId="47088275" w14:textId="77777777" w:rsidR="00F7308E" w:rsidRPr="005035FF" w:rsidRDefault="00F7308E" w:rsidP="001C0FFF">
      <w:pPr>
        <w:pStyle w:val="Heading2"/>
      </w:pPr>
      <w:bookmarkStart w:id="54" w:name="_Toc37024338"/>
      <w:r w:rsidRPr="005035FF">
        <w:t>Lodging the a</w:t>
      </w:r>
      <w:r w:rsidR="001C0FFF">
        <w:t>pplication</w:t>
      </w:r>
      <w:bookmarkEnd w:id="54"/>
    </w:p>
    <w:p w14:paraId="2C819467" w14:textId="398973A2" w:rsidR="00F7308E" w:rsidRPr="005035FF" w:rsidRDefault="00F7308E" w:rsidP="001C0FFF">
      <w:r w:rsidRPr="005035FF">
        <w:t xml:space="preserve">After Medsafe receives your application for a Licence to Manufacture Medicines or a Licence to Pack Medicines, an auditor will review the application. The auditor </w:t>
      </w:r>
      <w:r w:rsidR="00FA4E01">
        <w:t xml:space="preserve">will </w:t>
      </w:r>
      <w:r w:rsidR="00576C17">
        <w:t xml:space="preserve">provide you with a Pre-Audit Questionnaire </w:t>
      </w:r>
      <w:r w:rsidR="00A002DB">
        <w:t xml:space="preserve">to complete and </w:t>
      </w:r>
      <w:r w:rsidRPr="005035FF">
        <w:t xml:space="preserve">may request an SMF or other information from your QMS to verify that you have key systems in place </w:t>
      </w:r>
      <w:r w:rsidR="00A002DB">
        <w:t xml:space="preserve">before a GMP audit </w:t>
      </w:r>
      <w:r w:rsidR="00007384">
        <w:t>is schedule</w:t>
      </w:r>
      <w:r w:rsidRPr="005035FF">
        <w:t>.</w:t>
      </w:r>
    </w:p>
    <w:p w14:paraId="0226FB5A" w14:textId="77777777" w:rsidR="00F7308E" w:rsidRPr="005035FF" w:rsidRDefault="00F7308E" w:rsidP="001C0FFF">
      <w:pPr>
        <w:pStyle w:val="Heading2"/>
      </w:pPr>
      <w:bookmarkStart w:id="55" w:name="_Toc37024339"/>
      <w:r w:rsidRPr="005035FF">
        <w:t>Arranging the audit date</w:t>
      </w:r>
      <w:bookmarkEnd w:id="55"/>
    </w:p>
    <w:p w14:paraId="2C856D8F" w14:textId="77777777" w:rsidR="00F7308E" w:rsidRPr="005035FF" w:rsidRDefault="00F7308E" w:rsidP="001C0FFF">
      <w:r w:rsidRPr="005035FF">
        <w:t>The auditor contacts you to arrange a date for the audit. The audit could take less than a day for a very small site or several days for a larger site.</w:t>
      </w:r>
    </w:p>
    <w:p w14:paraId="15C8D3D5" w14:textId="77777777" w:rsidR="00F7308E" w:rsidRPr="005035FF" w:rsidRDefault="00F7308E" w:rsidP="001C0FFF">
      <w:pPr>
        <w:pStyle w:val="Heading2"/>
      </w:pPr>
      <w:bookmarkStart w:id="56" w:name="_Toc37024340"/>
      <w:r w:rsidRPr="005035FF">
        <w:t>Carrying out the GMP audit</w:t>
      </w:r>
      <w:bookmarkEnd w:id="56"/>
    </w:p>
    <w:p w14:paraId="5473446E" w14:textId="77777777" w:rsidR="00F7308E" w:rsidRPr="005035FF" w:rsidRDefault="00F7308E" w:rsidP="001C0FFF">
      <w:r w:rsidRPr="005035FF">
        <w:t>During the audit, the auditor will identify any discrepancies between your system and the requirements of the GMP Code and discuss them with you. The auditor will summarise all deficiencies at a meeting with company management at the end of the audit so you can start rectifying them straight away.</w:t>
      </w:r>
    </w:p>
    <w:p w14:paraId="651516B0" w14:textId="77777777" w:rsidR="00F7308E" w:rsidRPr="005035FF" w:rsidRDefault="00F7308E" w:rsidP="001C0FFF">
      <w:pPr>
        <w:pStyle w:val="Heading2"/>
      </w:pPr>
      <w:bookmarkStart w:id="57" w:name="_Toc37024341"/>
      <w:r w:rsidRPr="005035FF">
        <w:t>Preparing the audit report</w:t>
      </w:r>
      <w:bookmarkEnd w:id="57"/>
    </w:p>
    <w:p w14:paraId="751438E6" w14:textId="77777777" w:rsidR="00F7308E" w:rsidRPr="005035FF" w:rsidRDefault="00F7308E" w:rsidP="00F7308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5035FF">
        <w:rPr>
          <w:rFonts w:cs="Arial"/>
          <w:color w:val="000000"/>
        </w:rPr>
        <w:t xml:space="preserve">The auditor prepares the audit report, setting out any identified deficiencies and making a </w:t>
      </w:r>
      <w:r>
        <w:rPr>
          <w:rFonts w:cs="Arial"/>
          <w:color w:val="000000"/>
        </w:rPr>
        <w:t xml:space="preserve">license </w:t>
      </w:r>
      <w:r w:rsidRPr="005035FF">
        <w:rPr>
          <w:rFonts w:cs="Arial"/>
          <w:color w:val="000000"/>
        </w:rPr>
        <w:t>recommendation</w:t>
      </w:r>
      <w:r>
        <w:rPr>
          <w:rFonts w:cs="Arial"/>
          <w:color w:val="000000"/>
        </w:rPr>
        <w:t xml:space="preserve"> that results in</w:t>
      </w:r>
      <w:r w:rsidRPr="005035FF">
        <w:rPr>
          <w:rFonts w:cs="Arial"/>
          <w:color w:val="000000"/>
        </w:rPr>
        <w:t>:</w:t>
      </w:r>
    </w:p>
    <w:p w14:paraId="23D7BD07" w14:textId="77777777" w:rsidR="00606CDC" w:rsidRDefault="00F7308E" w:rsidP="001C0FFF">
      <w:pPr>
        <w:pStyle w:val="Bullet"/>
      </w:pPr>
      <w:r w:rsidRPr="005035FF">
        <w:rPr>
          <w:rFonts w:cs="Arial"/>
          <w:color w:val="000000"/>
        </w:rPr>
        <w:t>issu</w:t>
      </w:r>
      <w:r>
        <w:rPr>
          <w:rFonts w:cs="Arial"/>
          <w:color w:val="000000"/>
        </w:rPr>
        <w:t>ing</w:t>
      </w:r>
      <w:r w:rsidRPr="005035FF">
        <w:rPr>
          <w:rFonts w:cs="Arial"/>
          <w:color w:val="000000"/>
        </w:rPr>
        <w:t xml:space="preserve"> </w:t>
      </w:r>
      <w:r w:rsidRPr="005035FF">
        <w:t>a licence</w:t>
      </w:r>
      <w:r>
        <w:t>, or</w:t>
      </w:r>
    </w:p>
    <w:p w14:paraId="267B778F" w14:textId="77777777" w:rsidR="00F7308E" w:rsidRPr="005035FF" w:rsidRDefault="00F7308E" w:rsidP="001C0FFF">
      <w:pPr>
        <w:pStyle w:val="Bullet"/>
      </w:pPr>
      <w:r w:rsidRPr="005035FF">
        <w:t>defer</w:t>
      </w:r>
      <w:r>
        <w:t>ring</w:t>
      </w:r>
      <w:r w:rsidRPr="005035FF">
        <w:t xml:space="preserve"> a decision until you have rectified key deficiencies, or</w:t>
      </w:r>
    </w:p>
    <w:p w14:paraId="69A65D66" w14:textId="77777777" w:rsidR="00F7308E" w:rsidRPr="005035FF" w:rsidRDefault="00F7308E" w:rsidP="001C0FFF">
      <w:pPr>
        <w:pStyle w:val="Bullet"/>
      </w:pPr>
      <w:r w:rsidRPr="005035FF">
        <w:t>declin</w:t>
      </w:r>
      <w:r>
        <w:t>ing</w:t>
      </w:r>
      <w:r w:rsidRPr="005035FF">
        <w:t xml:space="preserve"> the application.</w:t>
      </w:r>
    </w:p>
    <w:p w14:paraId="2E59F197" w14:textId="77777777" w:rsidR="00F7308E" w:rsidRPr="005035FF" w:rsidRDefault="00F7308E" w:rsidP="001C0FFF">
      <w:pPr>
        <w:pStyle w:val="Heading2"/>
      </w:pPr>
      <w:bookmarkStart w:id="58" w:name="_Toc37024342"/>
      <w:r w:rsidRPr="005035FF">
        <w:lastRenderedPageBreak/>
        <w:t>Opportunity to respond</w:t>
      </w:r>
      <w:bookmarkEnd w:id="58"/>
    </w:p>
    <w:p w14:paraId="4B95F809" w14:textId="51860A3B" w:rsidR="00F7308E" w:rsidRPr="005035FF" w:rsidRDefault="00F7308E" w:rsidP="001C0FFF">
      <w:pPr>
        <w:keepLines/>
      </w:pPr>
      <w:r w:rsidRPr="005035FF">
        <w:t xml:space="preserve">If the auditor has identified any deficiencies, </w:t>
      </w:r>
      <w:r w:rsidR="00D02A79">
        <w:t xml:space="preserve">these deficiencies will be communicated to key personnel of the company that attended the audit closing meeting. You </w:t>
      </w:r>
      <w:r w:rsidR="007E0205">
        <w:t>may</w:t>
      </w:r>
      <w:r w:rsidR="00D02A79">
        <w:t xml:space="preserve"> start preparing the audit responses and </w:t>
      </w:r>
      <w:r w:rsidRPr="005035FF">
        <w:t>explain how you have addressed each deficiency</w:t>
      </w:r>
      <w:r w:rsidR="00D02A79">
        <w:t xml:space="preserve"> even before the audit report is issued</w:t>
      </w:r>
      <w:r w:rsidRPr="005035FF">
        <w:t>. It is important when planning your corrective and preventative actions to consider the underlying cause of the deficiency rather than just the e</w:t>
      </w:r>
      <w:r w:rsidR="001C0FFF">
        <w:t>xample identified at the audit.</w:t>
      </w:r>
    </w:p>
    <w:p w14:paraId="5359445D" w14:textId="77777777" w:rsidR="00F7308E" w:rsidRPr="005035FF" w:rsidRDefault="00F7308E" w:rsidP="001C0FFF">
      <w:r w:rsidRPr="005035FF">
        <w:t>Your response should include:</w:t>
      </w:r>
    </w:p>
    <w:p w14:paraId="22A08E7C" w14:textId="77777777" w:rsidR="00F7308E" w:rsidRPr="005035FF" w:rsidRDefault="00F7308E" w:rsidP="001C0FFF">
      <w:pPr>
        <w:pStyle w:val="Bullet"/>
      </w:pPr>
      <w:r w:rsidRPr="005035FF">
        <w:t>a description of the corrective and preventative action you have planned or taken</w:t>
      </w:r>
    </w:p>
    <w:p w14:paraId="0486F7B4" w14:textId="77777777" w:rsidR="00F7308E" w:rsidRPr="005035FF" w:rsidRDefault="00F7308E" w:rsidP="001C0FFF">
      <w:pPr>
        <w:pStyle w:val="Bullet"/>
      </w:pPr>
      <w:r w:rsidRPr="005035FF">
        <w:t>the date you completed the corrective and preventative action or plan to complete it</w:t>
      </w:r>
    </w:p>
    <w:p w14:paraId="48D960E6" w14:textId="77777777" w:rsidR="00F7308E" w:rsidRPr="005035FF" w:rsidRDefault="00F7308E" w:rsidP="001C0FFF">
      <w:pPr>
        <w:pStyle w:val="Bullet"/>
      </w:pPr>
      <w:r w:rsidRPr="005035FF">
        <w:t>evidence of completion (for example, photographs or copies of amended documents).</w:t>
      </w:r>
    </w:p>
    <w:p w14:paraId="56672D59" w14:textId="77777777" w:rsidR="00F7308E" w:rsidRPr="005035FF" w:rsidRDefault="00F7308E" w:rsidP="001C0FFF">
      <w:pPr>
        <w:pStyle w:val="Heading2"/>
      </w:pPr>
      <w:bookmarkStart w:id="59" w:name="_Toc37024343"/>
      <w:r w:rsidRPr="005035FF">
        <w:t>Auditor reviews response</w:t>
      </w:r>
      <w:bookmarkEnd w:id="59"/>
    </w:p>
    <w:p w14:paraId="4F438859" w14:textId="77777777" w:rsidR="00F7308E" w:rsidRPr="005035FF" w:rsidRDefault="00F7308E" w:rsidP="001C0FFF">
      <w:r w:rsidRPr="005035FF">
        <w:t>The auditor will review your response and the evidence you provide. They may request further information.</w:t>
      </w:r>
    </w:p>
    <w:p w14:paraId="6CD29014" w14:textId="77777777" w:rsidR="00F7308E" w:rsidRPr="005035FF" w:rsidRDefault="00F7308E" w:rsidP="001C0FFF">
      <w:pPr>
        <w:pStyle w:val="Heading2"/>
      </w:pPr>
      <w:bookmarkStart w:id="60" w:name="_Toc37024344"/>
      <w:r w:rsidRPr="005035FF">
        <w:t>Medsafe issues licence</w:t>
      </w:r>
      <w:bookmarkEnd w:id="60"/>
    </w:p>
    <w:p w14:paraId="64EE2F9F" w14:textId="77777777" w:rsidR="00F7308E" w:rsidRPr="005035FF" w:rsidRDefault="00F7308E" w:rsidP="001C0FFF">
      <w:pPr>
        <w:spacing w:after="240"/>
      </w:pPr>
      <w:r w:rsidRPr="005035FF">
        <w:t>Medsafe will issue a licence once it is satisfied the site meets the requirements of the GMP Code. The time it takes to reach this step depends on the findings of the audit and how well your response addresses any deficiencies.</w:t>
      </w:r>
    </w:p>
    <w:p w14:paraId="20A5D762" w14:textId="77777777" w:rsidR="001C0FFF" w:rsidRPr="005035FF" w:rsidRDefault="001C0FFF" w:rsidP="001C0FFF">
      <w:pPr>
        <w:pStyle w:val="Box"/>
      </w:pPr>
      <w:r w:rsidRPr="005035FF">
        <w:rPr>
          <w:b/>
        </w:rPr>
        <w:t xml:space="preserve">Note: </w:t>
      </w:r>
      <w:r w:rsidRPr="005035FF">
        <w:t xml:space="preserve">The audit is a rigorous </w:t>
      </w:r>
      <w:proofErr w:type="gramStart"/>
      <w:r w:rsidRPr="005035FF">
        <w:t>process</w:t>
      </w:r>
      <w:proofErr w:type="gramEnd"/>
      <w:r w:rsidRPr="005035FF">
        <w:t xml:space="preserve"> and it is not uncommon for an organisation to require more than one audit before Medsafe issues a licence. If Medsafe decides to defer issuing a licence after the second on-site audit, and further audits are needed, you may need to lodge a new application and pay a further application fee.</w:t>
      </w:r>
    </w:p>
    <w:p w14:paraId="15447E4E" w14:textId="77777777" w:rsidR="00F7308E" w:rsidRPr="005035FF" w:rsidRDefault="00F7308E" w:rsidP="001C0FFF">
      <w:pPr>
        <w:pStyle w:val="Heading1"/>
      </w:pPr>
      <w:bookmarkStart w:id="61" w:name="4.1._Recommended_best_practice_guidance_"/>
      <w:bookmarkStart w:id="62" w:name="_Section_5:_Responsibilities"/>
      <w:bookmarkStart w:id="63" w:name="_Toc36535178"/>
      <w:bookmarkStart w:id="64" w:name="_Toc37024345"/>
      <w:bookmarkEnd w:id="61"/>
      <w:bookmarkEnd w:id="62"/>
      <w:r w:rsidRPr="005035FF">
        <w:lastRenderedPageBreak/>
        <w:t>Responsibilities of licence holders</w:t>
      </w:r>
      <w:bookmarkEnd w:id="63"/>
      <w:bookmarkEnd w:id="64"/>
    </w:p>
    <w:p w14:paraId="7FAE368C" w14:textId="77777777" w:rsidR="00F7308E" w:rsidRPr="005035FF" w:rsidRDefault="00F7308E" w:rsidP="001C0FFF">
      <w:r w:rsidRPr="005035FF">
        <w:t>The holder of a Licence to Manufacture Medicines or a Licence to Pack Medicines under the Medicines Act 1981 has responsibilities</w:t>
      </w:r>
      <w:r>
        <w:t xml:space="preserve"> including the following</w:t>
      </w:r>
      <w:r w:rsidRPr="005035FF">
        <w:t>.</w:t>
      </w:r>
    </w:p>
    <w:p w14:paraId="596F8C3F" w14:textId="77777777" w:rsidR="00F7308E" w:rsidRPr="005035FF" w:rsidRDefault="00F7308E" w:rsidP="001C0FFF">
      <w:pPr>
        <w:pStyle w:val="Heading2"/>
      </w:pPr>
      <w:bookmarkStart w:id="65" w:name="_Toc36535179"/>
      <w:bookmarkStart w:id="66" w:name="_Toc37024346"/>
      <w:r w:rsidRPr="005035FF">
        <w:t>Comply with licence conditions</w:t>
      </w:r>
      <w:bookmarkEnd w:id="65"/>
      <w:bookmarkEnd w:id="66"/>
    </w:p>
    <w:p w14:paraId="2764429A" w14:textId="77777777" w:rsidR="00F7308E" w:rsidRPr="005035FF" w:rsidRDefault="00F7308E" w:rsidP="001C0FFF">
      <w:r>
        <w:t>You</w:t>
      </w:r>
      <w:r w:rsidRPr="005035FF">
        <w:t xml:space="preserve"> must comply with the scope of manufacturing and/or packing activities </w:t>
      </w:r>
      <w:r>
        <w:t>specified on your licence</w:t>
      </w:r>
      <w:r w:rsidRPr="005035FF">
        <w:t xml:space="preserve">. This scope may include the types of medicinal cannabis products (dosage forms) or specific products that </w:t>
      </w:r>
      <w:r>
        <w:t>you</w:t>
      </w:r>
      <w:r w:rsidRPr="005035FF">
        <w:t xml:space="preserve"> can manufacture.</w:t>
      </w:r>
    </w:p>
    <w:p w14:paraId="4C5BCF22" w14:textId="77777777" w:rsidR="00F7308E" w:rsidRPr="005035FF" w:rsidRDefault="00F7308E" w:rsidP="001C0FFF">
      <w:r w:rsidRPr="005035FF">
        <w:t xml:space="preserve">The licence will also specify the location </w:t>
      </w:r>
      <w:r>
        <w:t xml:space="preserve">or locations </w:t>
      </w:r>
      <w:r w:rsidRPr="005035FF">
        <w:t xml:space="preserve">where </w:t>
      </w:r>
      <w:r>
        <w:t xml:space="preserve">you </w:t>
      </w:r>
      <w:r w:rsidRPr="005035FF">
        <w:t>can carry out these activities.</w:t>
      </w:r>
    </w:p>
    <w:p w14:paraId="7926263D" w14:textId="3C9DDE5F" w:rsidR="00F7308E" w:rsidRPr="005035FF" w:rsidRDefault="00F7308E" w:rsidP="001C0FFF">
      <w:r w:rsidRPr="005035FF">
        <w:t xml:space="preserve">If you intend to make products or complete activities that are outside the scope of your licence, you will first need to apply to Medsafe (by emailing </w:t>
      </w:r>
      <w:hyperlink r:id="rId27" w:history="1">
        <w:r w:rsidRPr="005035FF">
          <w:rPr>
            <w:rStyle w:val="Hyperlink"/>
            <w:rFonts w:cs="Arial"/>
          </w:rPr>
          <w:t>GMP@health.govt.nz</w:t>
        </w:r>
      </w:hyperlink>
      <w:r w:rsidRPr="005035FF">
        <w:t xml:space="preserve">) to amend your licence. </w:t>
      </w:r>
      <w:r>
        <w:t>Medsafe</w:t>
      </w:r>
      <w:r w:rsidRPr="005035FF">
        <w:t xml:space="preserve"> will assess the amendment you are proposing and may require you to have a targeted </w:t>
      </w:r>
      <w:r w:rsidR="000739AA">
        <w:t xml:space="preserve">onsite </w:t>
      </w:r>
      <w:r w:rsidRPr="005035FF">
        <w:t>audit</w:t>
      </w:r>
      <w:r w:rsidR="000739AA">
        <w:t xml:space="preserve"> or a desktop audit</w:t>
      </w:r>
      <w:r w:rsidRPr="005035FF">
        <w:t xml:space="preserve"> to evaluate the amendment.</w:t>
      </w:r>
    </w:p>
    <w:p w14:paraId="4795D8A9" w14:textId="77777777" w:rsidR="00F7308E" w:rsidRPr="005035FF" w:rsidRDefault="00F7308E" w:rsidP="001C0FFF">
      <w:pPr>
        <w:pStyle w:val="Heading2"/>
      </w:pPr>
      <w:bookmarkStart w:id="67" w:name="_Toc36535180"/>
      <w:bookmarkStart w:id="68" w:name="_Toc37024347"/>
      <w:r w:rsidRPr="005035FF">
        <w:t>Notify Medsafe of any changes you intend to make</w:t>
      </w:r>
      <w:bookmarkEnd w:id="67"/>
      <w:bookmarkEnd w:id="68"/>
    </w:p>
    <w:p w14:paraId="5AA5B7D1" w14:textId="77777777" w:rsidR="00F7308E" w:rsidRPr="005035FF" w:rsidRDefault="00F7308E" w:rsidP="001C0FFF">
      <w:r>
        <w:t>You</w:t>
      </w:r>
      <w:r w:rsidRPr="005035FF">
        <w:t xml:space="preserve"> must notify Medsafe (by emailing </w:t>
      </w:r>
      <w:hyperlink r:id="rId28" w:history="1">
        <w:r w:rsidRPr="005035FF">
          <w:rPr>
            <w:rStyle w:val="Hyperlink"/>
            <w:rFonts w:cs="Arial"/>
          </w:rPr>
          <w:t>GMP@health.govt.nz</w:t>
        </w:r>
      </w:hyperlink>
      <w:r w:rsidRPr="005035FF">
        <w:t xml:space="preserve">) of any changes </w:t>
      </w:r>
      <w:r>
        <w:t>you</w:t>
      </w:r>
      <w:r w:rsidRPr="005035FF">
        <w:t xml:space="preserve"> intend to make to the responsible persons recorded on </w:t>
      </w:r>
      <w:r>
        <w:t>your</w:t>
      </w:r>
      <w:r w:rsidRPr="005035FF">
        <w:t xml:space="preserve"> licence or to the products that </w:t>
      </w:r>
      <w:r>
        <w:t>you</w:t>
      </w:r>
      <w:r w:rsidRPr="005035FF">
        <w:t xml:space="preserve"> will make. </w:t>
      </w:r>
      <w:r>
        <w:t>You</w:t>
      </w:r>
      <w:r w:rsidRPr="005035FF">
        <w:t xml:space="preserve"> must also notify Medsafe of any major changes </w:t>
      </w:r>
      <w:r>
        <w:t>you</w:t>
      </w:r>
      <w:r w:rsidRPr="005035FF">
        <w:t xml:space="preserve"> intend to make to the facility, </w:t>
      </w:r>
      <w:proofErr w:type="gramStart"/>
      <w:r w:rsidRPr="005035FF">
        <w:t>equipment</w:t>
      </w:r>
      <w:proofErr w:type="gramEnd"/>
      <w:r w:rsidRPr="005035FF">
        <w:t xml:space="preserve"> or manufacturing operations.</w:t>
      </w:r>
    </w:p>
    <w:p w14:paraId="2289A066" w14:textId="77777777" w:rsidR="00F7308E" w:rsidRPr="005035FF" w:rsidRDefault="00F7308E" w:rsidP="001C0FFF">
      <w:r w:rsidRPr="005035FF">
        <w:t>Medsafe may need to evaluate some changes before you implement them. It may require you to have a targeted audit of any major changes to complete that evaluation.</w:t>
      </w:r>
    </w:p>
    <w:p w14:paraId="14DB29DF" w14:textId="77777777" w:rsidR="00F7308E" w:rsidRPr="005035FF" w:rsidRDefault="00F7308E" w:rsidP="001C0FFF">
      <w:r w:rsidRPr="005035FF">
        <w:t>Where it is necessary to modify a condition on your licence</w:t>
      </w:r>
      <w:r w:rsidRPr="005035FF" w:rsidDel="00A5467B">
        <w:t xml:space="preserve"> </w:t>
      </w:r>
      <w:r w:rsidRPr="005035FF">
        <w:t>because of your intended change, you must also apply for a licence amendment.</w:t>
      </w:r>
    </w:p>
    <w:p w14:paraId="36E2080F" w14:textId="77777777" w:rsidR="00F7308E" w:rsidRPr="005035FF" w:rsidRDefault="00F7308E" w:rsidP="001C0FFF">
      <w:pPr>
        <w:pStyle w:val="Heading2"/>
      </w:pPr>
      <w:bookmarkStart w:id="69" w:name="_Toc36535181"/>
      <w:bookmarkStart w:id="70" w:name="_Toc37024348"/>
      <w:r w:rsidRPr="005035FF">
        <w:t>Maintain validation of process</w:t>
      </w:r>
      <w:bookmarkEnd w:id="69"/>
      <w:bookmarkEnd w:id="70"/>
    </w:p>
    <w:p w14:paraId="185BFC32" w14:textId="54BBCD4D" w:rsidR="00F7308E" w:rsidRPr="005035FF" w:rsidRDefault="00F7308E" w:rsidP="001C0FFF">
      <w:r>
        <w:t>You</w:t>
      </w:r>
      <w:r w:rsidRPr="005035FF">
        <w:t xml:space="preserve"> must manage any changes to the manufacturing process through the change control system of </w:t>
      </w:r>
      <w:r>
        <w:t>your</w:t>
      </w:r>
      <w:r w:rsidRPr="005035FF">
        <w:t xml:space="preserve"> QMS. You </w:t>
      </w:r>
      <w:r w:rsidR="00A05086">
        <w:t xml:space="preserve">may </w:t>
      </w:r>
      <w:r w:rsidRPr="005035FF">
        <w:t>need to repeat the process validation to demonstrate the change has not altered the reproducibility of the process. Auditors will review your process validation documents as part of ongoing audits to assess your compliance with the GMP Code.</w:t>
      </w:r>
    </w:p>
    <w:p w14:paraId="1BE6CE5A" w14:textId="77777777" w:rsidR="00F7308E" w:rsidRDefault="00F7308E" w:rsidP="001C0FFF">
      <w:pPr>
        <w:pStyle w:val="Heading2"/>
      </w:pPr>
      <w:bookmarkStart w:id="71" w:name="_Toc36535182"/>
      <w:bookmarkStart w:id="72" w:name="_Toc37024349"/>
      <w:r w:rsidRPr="005035FF">
        <w:t>Have periodic audits against the GMP Code</w:t>
      </w:r>
      <w:bookmarkEnd w:id="71"/>
      <w:bookmarkEnd w:id="72"/>
    </w:p>
    <w:p w14:paraId="0087116A" w14:textId="77777777" w:rsidR="00F7308E" w:rsidRPr="005035FF" w:rsidRDefault="00F7308E" w:rsidP="001C0FFF">
      <w:r w:rsidRPr="00B0134D">
        <w:t xml:space="preserve">Periodic audits will assess whether you are continuing to comply with the GMP Code. The frequency of these audits could be anywhere between six months and three years, depending on </w:t>
      </w:r>
      <w:r w:rsidRPr="00B0134D">
        <w:lastRenderedPageBreak/>
        <w:t>the type of products you are manufacturing and your compliance history. An auditor will contact you to arrange a suitable time for each audit when it is due.</w:t>
      </w:r>
    </w:p>
    <w:p w14:paraId="58B3C442" w14:textId="77777777" w:rsidR="007653E3" w:rsidRPr="007653E3" w:rsidRDefault="007653E3" w:rsidP="001C0FFF"/>
    <w:sectPr w:rsidR="007653E3" w:rsidRPr="007653E3" w:rsidSect="00F75409">
      <w:pgSz w:w="11907" w:h="16834" w:code="9"/>
      <w:pgMar w:top="1418" w:right="1418" w:bottom="1418" w:left="1418"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23B8" w14:textId="77777777" w:rsidR="00725D81" w:rsidRDefault="00725D81">
      <w:r>
        <w:separator/>
      </w:r>
    </w:p>
    <w:p w14:paraId="60EF24BB" w14:textId="77777777" w:rsidR="00725D81" w:rsidRDefault="00725D81"/>
  </w:endnote>
  <w:endnote w:type="continuationSeparator" w:id="0">
    <w:p w14:paraId="115A8EC0" w14:textId="77777777" w:rsidR="00725D81" w:rsidRDefault="00725D81">
      <w:r>
        <w:continuationSeparator/>
      </w:r>
    </w:p>
    <w:p w14:paraId="5A2308DB" w14:textId="77777777" w:rsidR="00725D81" w:rsidRDefault="00725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4" w:type="dxa"/>
      <w:tblLook w:val="04A0" w:firstRow="1" w:lastRow="0" w:firstColumn="1" w:lastColumn="0" w:noHBand="0" w:noVBand="1"/>
    </w:tblPr>
    <w:tblGrid>
      <w:gridCol w:w="1215"/>
      <w:gridCol w:w="1559"/>
      <w:gridCol w:w="7994"/>
    </w:tblGrid>
    <w:tr w:rsidR="006F5C10" w14:paraId="015654C4" w14:textId="77777777" w:rsidTr="00F11E28">
      <w:tc>
        <w:tcPr>
          <w:tcW w:w="1231" w:type="dxa"/>
          <w:tcBorders>
            <w:top w:val="single" w:sz="4" w:space="0" w:color="076283"/>
            <w:left w:val="single" w:sz="4" w:space="0" w:color="076283"/>
            <w:bottom w:val="single" w:sz="4" w:space="0" w:color="076283"/>
            <w:right w:val="nil"/>
          </w:tcBorders>
          <w:shd w:val="clear" w:color="auto" w:fill="076283"/>
        </w:tcPr>
        <w:p w14:paraId="0C013E80" w14:textId="77777777" w:rsidR="006F5C10" w:rsidRPr="00702088" w:rsidRDefault="006F5C10" w:rsidP="007953D4">
          <w:pPr>
            <w:pStyle w:val="Footer"/>
            <w:spacing w:before="120" w:after="120" w:line="240" w:lineRule="auto"/>
            <w:rPr>
              <w:color w:val="FFFFFF" w:themeColor="background1"/>
              <w:sz w:val="18"/>
              <w:szCs w:val="18"/>
              <w:lang w:val="en-NZ"/>
            </w:rPr>
          </w:pPr>
        </w:p>
      </w:tc>
      <w:tc>
        <w:tcPr>
          <w:tcW w:w="1571" w:type="dxa"/>
          <w:tcBorders>
            <w:top w:val="single" w:sz="4" w:space="0" w:color="076283"/>
            <w:left w:val="nil"/>
            <w:bottom w:val="single" w:sz="4" w:space="0" w:color="076283"/>
            <w:right w:val="single" w:sz="4" w:space="0" w:color="076283"/>
          </w:tcBorders>
          <w:shd w:val="clear" w:color="auto" w:fill="076283"/>
        </w:tcPr>
        <w:p w14:paraId="26C76E6C" w14:textId="266C123B" w:rsidR="006F5C10" w:rsidRPr="00702088" w:rsidRDefault="006F5C10" w:rsidP="00F7308E">
          <w:pPr>
            <w:pStyle w:val="Footer"/>
            <w:spacing w:after="120" w:line="240" w:lineRule="auto"/>
            <w:rPr>
              <w:color w:val="FFFFFF" w:themeColor="background1"/>
              <w:sz w:val="18"/>
              <w:szCs w:val="18"/>
              <w:lang w:val="en-NZ"/>
            </w:rPr>
          </w:pPr>
          <w:r w:rsidRPr="00702088">
            <w:rPr>
              <w:b/>
              <w:color w:val="FFFFFF" w:themeColor="background1"/>
              <w:sz w:val="18"/>
              <w:szCs w:val="18"/>
              <w:lang w:val="en-NZ"/>
            </w:rPr>
            <w:t xml:space="preserve">EDITION </w:t>
          </w:r>
          <w:r w:rsidR="0027275C">
            <w:rPr>
              <w:b/>
              <w:color w:val="FFFFFF" w:themeColor="background1"/>
              <w:sz w:val="18"/>
              <w:szCs w:val="18"/>
              <w:lang w:val="en-NZ"/>
            </w:rPr>
            <w:t>2</w:t>
          </w:r>
          <w:r w:rsidRPr="00702088">
            <w:rPr>
              <w:b/>
              <w:color w:val="FFFFFF" w:themeColor="background1"/>
              <w:sz w:val="18"/>
              <w:szCs w:val="18"/>
              <w:lang w:val="en-NZ"/>
            </w:rPr>
            <w:t>.0</w:t>
          </w:r>
          <w:r w:rsidRPr="00702088">
            <w:rPr>
              <w:color w:val="FFFFFF" w:themeColor="background1"/>
              <w:sz w:val="18"/>
              <w:szCs w:val="18"/>
              <w:lang w:val="en-NZ"/>
            </w:rPr>
            <w:br/>
          </w:r>
          <w:r w:rsidR="00FA26D9">
            <w:rPr>
              <w:color w:val="FFFFFF" w:themeColor="background1"/>
              <w:sz w:val="18"/>
              <w:szCs w:val="18"/>
              <w:lang w:val="en-NZ"/>
            </w:rPr>
            <w:t>February</w:t>
          </w:r>
          <w:r w:rsidR="0027275C">
            <w:rPr>
              <w:color w:val="FFFFFF" w:themeColor="background1"/>
              <w:sz w:val="18"/>
              <w:szCs w:val="18"/>
              <w:lang w:val="en-NZ"/>
            </w:rPr>
            <w:t xml:space="preserve"> 202</w:t>
          </w:r>
          <w:r w:rsidR="00FA26D9">
            <w:rPr>
              <w:color w:val="FFFFFF" w:themeColor="background1"/>
              <w:sz w:val="18"/>
              <w:szCs w:val="18"/>
              <w:lang w:val="en-NZ"/>
            </w:rPr>
            <w:t>2</w:t>
          </w:r>
        </w:p>
      </w:tc>
      <w:tc>
        <w:tcPr>
          <w:tcW w:w="8079" w:type="dxa"/>
          <w:tcBorders>
            <w:top w:val="nil"/>
            <w:left w:val="single" w:sz="4" w:space="0" w:color="076283"/>
            <w:bottom w:val="nil"/>
            <w:right w:val="nil"/>
          </w:tcBorders>
          <w:vAlign w:val="center"/>
        </w:tcPr>
        <w:p w14:paraId="4BE3E85F" w14:textId="77777777" w:rsidR="006F5C10" w:rsidRPr="00702088" w:rsidRDefault="006F5C10" w:rsidP="00F11E28">
          <w:pPr>
            <w:pStyle w:val="Footer"/>
            <w:spacing w:before="120" w:after="120" w:line="240" w:lineRule="auto"/>
            <w:jc w:val="right"/>
            <w:rPr>
              <w:lang w:val="en-NZ"/>
            </w:rPr>
          </w:pPr>
          <w:r w:rsidRPr="00606CDC">
            <w:rPr>
              <w:noProof/>
              <w:lang w:eastAsia="en-NZ"/>
            </w:rPr>
            <w:drawing>
              <wp:inline distT="0" distB="0" distL="0" distR="0" wp14:anchorId="26BDFFFB" wp14:editId="6212159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7FE84EB" w14:textId="77777777" w:rsidR="006F5C10" w:rsidRPr="00FB554D" w:rsidRDefault="006F5C10" w:rsidP="00FB554D">
    <w:pPr>
      <w:pStyle w:val="Footer"/>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67"/>
      <w:gridCol w:w="7621"/>
    </w:tblGrid>
    <w:tr w:rsidR="006F5C10" w14:paraId="226DF217" w14:textId="77777777" w:rsidTr="00707425">
      <w:trPr>
        <w:cantSplit/>
      </w:trPr>
      <w:tc>
        <w:tcPr>
          <w:tcW w:w="567" w:type="dxa"/>
          <w:vAlign w:val="center"/>
        </w:tcPr>
        <w:p w14:paraId="37BB3B93" w14:textId="77777777" w:rsidR="006F5C10" w:rsidRPr="00931466" w:rsidRDefault="006F5C10" w:rsidP="004751DA">
          <w:pPr>
            <w:pStyle w:val="Footer"/>
            <w:spacing w:before="0" w:line="240"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10</w:t>
          </w:r>
          <w:r w:rsidRPr="00931466">
            <w:rPr>
              <w:rStyle w:val="PageNumber"/>
            </w:rPr>
            <w:fldChar w:fldCharType="end"/>
          </w:r>
        </w:p>
      </w:tc>
      <w:tc>
        <w:tcPr>
          <w:tcW w:w="7621" w:type="dxa"/>
          <w:vAlign w:val="center"/>
        </w:tcPr>
        <w:p w14:paraId="24E93A4A" w14:textId="77777777" w:rsidR="006F5C10" w:rsidRDefault="006F5C10" w:rsidP="00F7308E">
          <w:pPr>
            <w:pStyle w:val="RectoFooter"/>
            <w:jc w:val="left"/>
          </w:pPr>
          <w:r>
            <w:t>Guideline on the Regulation of Medicinal Cannabis in New Zealand</w:t>
          </w:r>
          <w:r>
            <w:br/>
            <w:t>part 2: INFORMATION FOR NEW ZEALAND MANUFACTURERS AND PACKERS</w:t>
          </w:r>
        </w:p>
      </w:tc>
    </w:tr>
  </w:tbl>
  <w:p w14:paraId="6EED2196" w14:textId="77777777" w:rsidR="006F5C10" w:rsidRPr="004751DA" w:rsidRDefault="006F5C10" w:rsidP="004751DA">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222"/>
      <w:gridCol w:w="567"/>
    </w:tblGrid>
    <w:tr w:rsidR="006F5C10" w14:paraId="7F8ABAEF" w14:textId="77777777" w:rsidTr="00707425">
      <w:trPr>
        <w:cantSplit/>
      </w:trPr>
      <w:tc>
        <w:tcPr>
          <w:tcW w:w="8222" w:type="dxa"/>
          <w:vAlign w:val="center"/>
        </w:tcPr>
        <w:p w14:paraId="02C14447" w14:textId="77777777" w:rsidR="006F5C10" w:rsidRDefault="006F5C10" w:rsidP="00F7308E">
          <w:pPr>
            <w:pStyle w:val="RectoFooter"/>
          </w:pPr>
          <w:r>
            <w:t>Guideline on the Regulation of Medicinal Cannabis in New Zealand</w:t>
          </w:r>
          <w:r>
            <w:br/>
            <w:t>part 2: INFORMATION FOR NEW ZEALAND MANUFACTURERS AND PACKERS</w:t>
          </w:r>
        </w:p>
      </w:tc>
      <w:tc>
        <w:tcPr>
          <w:tcW w:w="567" w:type="dxa"/>
          <w:vAlign w:val="center"/>
        </w:tcPr>
        <w:p w14:paraId="4B6512B0" w14:textId="77777777" w:rsidR="006F5C10" w:rsidRPr="00931466" w:rsidRDefault="006F5C10" w:rsidP="00F75409">
          <w:pPr>
            <w:pStyle w:val="Footer"/>
            <w:spacing w:before="0" w:line="240"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11</w:t>
          </w:r>
          <w:r w:rsidRPr="00931466">
            <w:rPr>
              <w:rStyle w:val="PageNumber"/>
            </w:rPr>
            <w:fldChar w:fldCharType="end"/>
          </w:r>
        </w:p>
      </w:tc>
    </w:tr>
  </w:tbl>
  <w:p w14:paraId="0832613B" w14:textId="77777777" w:rsidR="006F5C10" w:rsidRPr="004751DA" w:rsidRDefault="006F5C10" w:rsidP="004751DA">
    <w:pPr>
      <w:spacing w:before="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818F" w14:textId="77777777" w:rsidR="00725D81" w:rsidRPr="00A26E6B" w:rsidRDefault="00725D81" w:rsidP="00A26E6B"/>
  </w:footnote>
  <w:footnote w:type="continuationSeparator" w:id="0">
    <w:p w14:paraId="6F26CAAA" w14:textId="77777777" w:rsidR="00725D81" w:rsidRDefault="00725D81">
      <w:r>
        <w:continuationSeparator/>
      </w:r>
    </w:p>
    <w:p w14:paraId="3E39CF26" w14:textId="77777777" w:rsidR="00725D81" w:rsidRDefault="00725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F5C10" w14:paraId="77ADF5D4" w14:textId="77777777" w:rsidTr="00FB554D">
      <w:trPr>
        <w:cantSplit/>
      </w:trPr>
      <w:tc>
        <w:tcPr>
          <w:tcW w:w="5210" w:type="dxa"/>
        </w:tcPr>
        <w:p w14:paraId="388327EE" w14:textId="77777777" w:rsidR="006F5C10" w:rsidRDefault="006F5C10" w:rsidP="00FB554D">
          <w:pPr>
            <w:pStyle w:val="Header"/>
          </w:pPr>
          <w:r>
            <w:rPr>
              <w:noProof/>
              <w:lang w:eastAsia="en-NZ"/>
            </w:rPr>
            <w:drawing>
              <wp:inline distT="0" distB="0" distL="0" distR="0" wp14:anchorId="6E6A87C2" wp14:editId="07E717C3">
                <wp:extent cx="1862051" cy="1308025"/>
                <wp:effectExtent l="0" t="0" r="5080" b="6985"/>
                <wp:docPr id="2" name="Picture 2" descr="C:\Users\WordPRO4\AppData\Local\Microsoft\Windows\INetCache\Content.Word\HP7355---MC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HP7355---MCA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49" t="11641" r="8666" b="12214"/>
                        <a:stretch/>
                      </pic:blipFill>
                      <pic:spPr bwMode="auto">
                        <a:xfrm>
                          <a:off x="0" y="0"/>
                          <a:ext cx="1863501" cy="1309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A9F9899" w14:textId="77777777" w:rsidR="006F5C10" w:rsidRDefault="006F5C10" w:rsidP="00FB554D">
          <w:pPr>
            <w:pStyle w:val="Header"/>
            <w:jc w:val="right"/>
          </w:pPr>
          <w:r>
            <w:rPr>
              <w:noProof/>
              <w:lang w:eastAsia="en-NZ"/>
            </w:rPr>
            <w:drawing>
              <wp:inline distT="0" distB="0" distL="0" distR="0" wp14:anchorId="47875819" wp14:editId="2E4BA321">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BCB475" w14:textId="77777777" w:rsidR="006F5C10" w:rsidRPr="00FB554D" w:rsidRDefault="006F5C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54DF" w14:textId="77777777" w:rsidR="006F5C10" w:rsidRDefault="006F5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9E6E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3FC8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137CE42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4205D"/>
    <w:multiLevelType w:val="hybridMultilevel"/>
    <w:tmpl w:val="24089208"/>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BB57D0"/>
    <w:multiLevelType w:val="hybridMultilevel"/>
    <w:tmpl w:val="0C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AF4ED4"/>
    <w:multiLevelType w:val="multilevel"/>
    <w:tmpl w:val="889E82AA"/>
    <w:lvl w:ilvl="0">
      <w:start w:val="1"/>
      <w:numFmt w:val="decimal"/>
      <w:lvlText w:val="%1."/>
      <w:lvlJc w:val="left"/>
      <w:pPr>
        <w:ind w:left="477" w:hanging="360"/>
      </w:pPr>
      <w:rPr>
        <w:rFonts w:hint="default"/>
      </w:rPr>
    </w:lvl>
    <w:lvl w:ilvl="1">
      <w:start w:val="4"/>
      <w:numFmt w:val="decimal"/>
      <w:isLgl/>
      <w:lvlText w:val="%1.%2"/>
      <w:lvlJc w:val="left"/>
      <w:pPr>
        <w:ind w:left="1257" w:hanging="1140"/>
      </w:pPr>
      <w:rPr>
        <w:rFonts w:hint="default"/>
      </w:rPr>
    </w:lvl>
    <w:lvl w:ilvl="2">
      <w:start w:val="1"/>
      <w:numFmt w:val="decimal"/>
      <w:isLgl/>
      <w:lvlText w:val="%1.%2.%3"/>
      <w:lvlJc w:val="left"/>
      <w:pPr>
        <w:ind w:left="1257" w:hanging="1140"/>
      </w:pPr>
      <w:rPr>
        <w:rFonts w:hint="default"/>
      </w:rPr>
    </w:lvl>
    <w:lvl w:ilvl="3">
      <w:start w:val="1"/>
      <w:numFmt w:val="decimal"/>
      <w:isLgl/>
      <w:lvlText w:val="%1.%2.%3.%4"/>
      <w:lvlJc w:val="left"/>
      <w:pPr>
        <w:ind w:left="1257" w:hanging="1140"/>
      </w:pPr>
      <w:rPr>
        <w:rFonts w:hint="default"/>
      </w:rPr>
    </w:lvl>
    <w:lvl w:ilvl="4">
      <w:start w:val="1"/>
      <w:numFmt w:val="decimal"/>
      <w:isLgl/>
      <w:lvlText w:val="%1.%2.%3.%4.%5"/>
      <w:lvlJc w:val="left"/>
      <w:pPr>
        <w:ind w:left="1257" w:hanging="1140"/>
      </w:pPr>
      <w:rPr>
        <w:rFonts w:hint="default"/>
      </w:rPr>
    </w:lvl>
    <w:lvl w:ilvl="5">
      <w:start w:val="1"/>
      <w:numFmt w:val="decimal"/>
      <w:isLgl/>
      <w:lvlText w:val="%1.%2.%3.%4.%5.%6"/>
      <w:lvlJc w:val="left"/>
      <w:pPr>
        <w:ind w:left="1557" w:hanging="1440"/>
      </w:pPr>
      <w:rPr>
        <w:rFonts w:hint="default"/>
      </w:rPr>
    </w:lvl>
    <w:lvl w:ilvl="6">
      <w:start w:val="1"/>
      <w:numFmt w:val="decimal"/>
      <w:isLgl/>
      <w:lvlText w:val="%1.%2.%3.%4.%5.%6.%7"/>
      <w:lvlJc w:val="left"/>
      <w:pPr>
        <w:ind w:left="1917" w:hanging="1800"/>
      </w:pPr>
      <w:rPr>
        <w:rFonts w:hint="default"/>
      </w:rPr>
    </w:lvl>
    <w:lvl w:ilvl="7">
      <w:start w:val="1"/>
      <w:numFmt w:val="decimal"/>
      <w:isLgl/>
      <w:lvlText w:val="%1.%2.%3.%4.%5.%6.%7.%8"/>
      <w:lvlJc w:val="left"/>
      <w:pPr>
        <w:ind w:left="1917" w:hanging="1800"/>
      </w:pPr>
      <w:rPr>
        <w:rFonts w:hint="default"/>
      </w:rPr>
    </w:lvl>
    <w:lvl w:ilvl="8">
      <w:start w:val="1"/>
      <w:numFmt w:val="decimal"/>
      <w:isLgl/>
      <w:lvlText w:val="%1.%2.%3.%4.%5.%6.%7.%8.%9"/>
      <w:lvlJc w:val="left"/>
      <w:pPr>
        <w:ind w:left="2277" w:hanging="2160"/>
      </w:pPr>
      <w:rPr>
        <w:rFonts w:hint="default"/>
      </w:rPr>
    </w:lvl>
  </w:abstractNum>
  <w:abstractNum w:abstractNumId="7" w15:restartNumberingAfterBreak="0">
    <w:nsid w:val="20EB0301"/>
    <w:multiLevelType w:val="hybridMultilevel"/>
    <w:tmpl w:val="DD549CC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8" w15:restartNumberingAfterBreak="0">
    <w:nsid w:val="229445CE"/>
    <w:multiLevelType w:val="hybridMultilevel"/>
    <w:tmpl w:val="45F2C78C"/>
    <w:lvl w:ilvl="0" w:tplc="7AC69260">
      <w:start w:val="1"/>
      <w:numFmt w:val="bullet"/>
      <w:lvlText w:val="­"/>
      <w:lvlJc w:val="left"/>
      <w:pPr>
        <w:ind w:left="1197" w:hanging="360"/>
      </w:pPr>
      <w:rPr>
        <w:rFonts w:ascii="Courier New" w:hAnsi="Courier New" w:hint="default"/>
      </w:rPr>
    </w:lvl>
    <w:lvl w:ilvl="1" w:tplc="14090003" w:tentative="1">
      <w:start w:val="1"/>
      <w:numFmt w:val="bullet"/>
      <w:lvlText w:val="o"/>
      <w:lvlJc w:val="left"/>
      <w:pPr>
        <w:ind w:left="1917" w:hanging="360"/>
      </w:pPr>
      <w:rPr>
        <w:rFonts w:ascii="Courier New" w:hAnsi="Courier New" w:cs="Courier New" w:hint="default"/>
      </w:rPr>
    </w:lvl>
    <w:lvl w:ilvl="2" w:tplc="14090005" w:tentative="1">
      <w:start w:val="1"/>
      <w:numFmt w:val="bullet"/>
      <w:lvlText w:val=""/>
      <w:lvlJc w:val="left"/>
      <w:pPr>
        <w:ind w:left="2637" w:hanging="360"/>
      </w:pPr>
      <w:rPr>
        <w:rFonts w:ascii="Wingdings" w:hAnsi="Wingdings" w:hint="default"/>
      </w:rPr>
    </w:lvl>
    <w:lvl w:ilvl="3" w:tplc="14090001" w:tentative="1">
      <w:start w:val="1"/>
      <w:numFmt w:val="bullet"/>
      <w:lvlText w:val=""/>
      <w:lvlJc w:val="left"/>
      <w:pPr>
        <w:ind w:left="3357" w:hanging="360"/>
      </w:pPr>
      <w:rPr>
        <w:rFonts w:ascii="Symbol" w:hAnsi="Symbol" w:hint="default"/>
      </w:rPr>
    </w:lvl>
    <w:lvl w:ilvl="4" w:tplc="14090003" w:tentative="1">
      <w:start w:val="1"/>
      <w:numFmt w:val="bullet"/>
      <w:lvlText w:val="o"/>
      <w:lvlJc w:val="left"/>
      <w:pPr>
        <w:ind w:left="4077" w:hanging="360"/>
      </w:pPr>
      <w:rPr>
        <w:rFonts w:ascii="Courier New" w:hAnsi="Courier New" w:cs="Courier New" w:hint="default"/>
      </w:rPr>
    </w:lvl>
    <w:lvl w:ilvl="5" w:tplc="14090005" w:tentative="1">
      <w:start w:val="1"/>
      <w:numFmt w:val="bullet"/>
      <w:lvlText w:val=""/>
      <w:lvlJc w:val="left"/>
      <w:pPr>
        <w:ind w:left="4797" w:hanging="360"/>
      </w:pPr>
      <w:rPr>
        <w:rFonts w:ascii="Wingdings" w:hAnsi="Wingdings" w:hint="default"/>
      </w:rPr>
    </w:lvl>
    <w:lvl w:ilvl="6" w:tplc="14090001" w:tentative="1">
      <w:start w:val="1"/>
      <w:numFmt w:val="bullet"/>
      <w:lvlText w:val=""/>
      <w:lvlJc w:val="left"/>
      <w:pPr>
        <w:ind w:left="5517" w:hanging="360"/>
      </w:pPr>
      <w:rPr>
        <w:rFonts w:ascii="Symbol" w:hAnsi="Symbol" w:hint="default"/>
      </w:rPr>
    </w:lvl>
    <w:lvl w:ilvl="7" w:tplc="14090003" w:tentative="1">
      <w:start w:val="1"/>
      <w:numFmt w:val="bullet"/>
      <w:lvlText w:val="o"/>
      <w:lvlJc w:val="left"/>
      <w:pPr>
        <w:ind w:left="6237" w:hanging="360"/>
      </w:pPr>
      <w:rPr>
        <w:rFonts w:ascii="Courier New" w:hAnsi="Courier New" w:cs="Courier New" w:hint="default"/>
      </w:rPr>
    </w:lvl>
    <w:lvl w:ilvl="8" w:tplc="14090005" w:tentative="1">
      <w:start w:val="1"/>
      <w:numFmt w:val="bullet"/>
      <w:lvlText w:val=""/>
      <w:lvlJc w:val="left"/>
      <w:pPr>
        <w:ind w:left="6957" w:hanging="360"/>
      </w:pPr>
      <w:rPr>
        <w:rFonts w:ascii="Wingdings" w:hAnsi="Wingdings" w:hint="default"/>
      </w:rPr>
    </w:lvl>
  </w:abstractNum>
  <w:abstractNum w:abstractNumId="9" w15:restartNumberingAfterBreak="0">
    <w:nsid w:val="231E7D02"/>
    <w:multiLevelType w:val="hybridMultilevel"/>
    <w:tmpl w:val="F5961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C33D4F"/>
    <w:multiLevelType w:val="hybridMultilevel"/>
    <w:tmpl w:val="3AEE270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1" w15:restartNumberingAfterBreak="0">
    <w:nsid w:val="28807013"/>
    <w:multiLevelType w:val="hybridMultilevel"/>
    <w:tmpl w:val="8F5E9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28143D"/>
    <w:multiLevelType w:val="hybridMultilevel"/>
    <w:tmpl w:val="38A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15082"/>
    <w:multiLevelType w:val="multilevel"/>
    <w:tmpl w:val="D73A86FE"/>
    <w:lvl w:ilvl="0">
      <w:start w:val="1"/>
      <w:numFmt w:val="decimal"/>
      <w:lvlText w:val="Section %1"/>
      <w:lvlJc w:val="left"/>
      <w:pPr>
        <w:ind w:left="1440" w:hanging="363"/>
      </w:pPr>
      <w:rPr>
        <w:rFonts w:hint="default"/>
      </w:rPr>
    </w:lvl>
    <w:lvl w:ilvl="1">
      <w:start w:val="1"/>
      <w:numFmt w:val="decimal"/>
      <w:lvlText w:val="%1.%2"/>
      <w:lvlJc w:val="left"/>
      <w:pPr>
        <w:ind w:left="1073" w:hanging="363"/>
      </w:pPr>
      <w:rPr>
        <w:rFonts w:hint="default"/>
      </w:rPr>
    </w:lvl>
    <w:lvl w:ilvl="2">
      <w:start w:val="1"/>
      <w:numFmt w:val="decimal"/>
      <w:lvlText w:val="%1.%2.%3"/>
      <w:lvlJc w:val="right"/>
      <w:pPr>
        <w:ind w:left="363" w:hanging="363"/>
      </w:pPr>
      <w:rPr>
        <w:rFonts w:hint="default"/>
      </w:rPr>
    </w:lvl>
    <w:lvl w:ilvl="3">
      <w:start w:val="1"/>
      <w:numFmt w:val="decimal"/>
      <w:lvlText w:val="%4."/>
      <w:lvlJc w:val="left"/>
      <w:pPr>
        <w:ind w:left="1440" w:hanging="363"/>
      </w:pPr>
      <w:rPr>
        <w:rFonts w:hint="default"/>
      </w:rPr>
    </w:lvl>
    <w:lvl w:ilvl="4">
      <w:start w:val="1"/>
      <w:numFmt w:val="lowerLetter"/>
      <w:lvlText w:val="%5."/>
      <w:lvlJc w:val="left"/>
      <w:pPr>
        <w:ind w:left="1440" w:hanging="363"/>
      </w:pPr>
      <w:rPr>
        <w:rFonts w:hint="default"/>
      </w:rPr>
    </w:lvl>
    <w:lvl w:ilvl="5">
      <w:start w:val="1"/>
      <w:numFmt w:val="lowerRoman"/>
      <w:lvlText w:val="%6."/>
      <w:lvlJc w:val="right"/>
      <w:pPr>
        <w:ind w:left="1440" w:hanging="363"/>
      </w:pPr>
      <w:rPr>
        <w:rFonts w:hint="default"/>
      </w:rPr>
    </w:lvl>
    <w:lvl w:ilvl="6">
      <w:start w:val="1"/>
      <w:numFmt w:val="decimal"/>
      <w:lvlText w:val="%7."/>
      <w:lvlJc w:val="left"/>
      <w:pPr>
        <w:ind w:left="1440" w:hanging="363"/>
      </w:pPr>
      <w:rPr>
        <w:rFonts w:hint="default"/>
      </w:rPr>
    </w:lvl>
    <w:lvl w:ilvl="7">
      <w:start w:val="1"/>
      <w:numFmt w:val="lowerLetter"/>
      <w:lvlText w:val="%8."/>
      <w:lvlJc w:val="left"/>
      <w:pPr>
        <w:ind w:left="1440" w:hanging="363"/>
      </w:pPr>
      <w:rPr>
        <w:rFonts w:hint="default"/>
      </w:rPr>
    </w:lvl>
    <w:lvl w:ilvl="8">
      <w:start w:val="1"/>
      <w:numFmt w:val="lowerRoman"/>
      <w:lvlText w:val="%9."/>
      <w:lvlJc w:val="right"/>
      <w:pPr>
        <w:ind w:left="1440" w:hanging="363"/>
      </w:pPr>
      <w:rPr>
        <w:rFonts w:hint="default"/>
      </w:rPr>
    </w:lvl>
  </w:abstractNum>
  <w:abstractNum w:abstractNumId="15" w15:restartNumberingAfterBreak="0">
    <w:nsid w:val="3F8E6E03"/>
    <w:multiLevelType w:val="hybridMultilevel"/>
    <w:tmpl w:val="4FE6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B370DF"/>
    <w:multiLevelType w:val="hybridMultilevel"/>
    <w:tmpl w:val="FB9406B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D7B9A"/>
    <w:multiLevelType w:val="hybridMultilevel"/>
    <w:tmpl w:val="19A05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1F3D8E"/>
    <w:multiLevelType w:val="hybridMultilevel"/>
    <w:tmpl w:val="4C444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6770DB"/>
    <w:multiLevelType w:val="hybridMultilevel"/>
    <w:tmpl w:val="A760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DC2926"/>
    <w:multiLevelType w:val="hybridMultilevel"/>
    <w:tmpl w:val="460A5B2A"/>
    <w:lvl w:ilvl="0" w:tplc="A28ECE30">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1363F29"/>
    <w:multiLevelType w:val="hybridMultilevel"/>
    <w:tmpl w:val="AF889E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532F0AA5"/>
    <w:multiLevelType w:val="hybridMultilevel"/>
    <w:tmpl w:val="3730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EC3448"/>
    <w:multiLevelType w:val="multilevel"/>
    <w:tmpl w:val="CC4C0EF2"/>
    <w:lvl w:ilvl="0">
      <w:start w:val="1"/>
      <w:numFmt w:val="decimal"/>
      <w:pStyle w:val="Heading1"/>
      <w:suff w:val="nothing"/>
      <w:lvlText w:val="Section %1: "/>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2B4256"/>
    <w:multiLevelType w:val="hybridMultilevel"/>
    <w:tmpl w:val="6212C9DE"/>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26" w15:restartNumberingAfterBreak="0">
    <w:nsid w:val="6A0C0C76"/>
    <w:multiLevelType w:val="hybridMultilevel"/>
    <w:tmpl w:val="7ABC0702"/>
    <w:lvl w:ilvl="0" w:tplc="77EE445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EE1114"/>
    <w:multiLevelType w:val="hybridMultilevel"/>
    <w:tmpl w:val="C764C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B01902"/>
    <w:multiLevelType w:val="hybridMultilevel"/>
    <w:tmpl w:val="18CCAEDE"/>
    <w:lvl w:ilvl="0" w:tplc="14090017">
      <w:start w:val="1"/>
      <w:numFmt w:val="lowerLetter"/>
      <w:lvlText w:val="%1)"/>
      <w:lvlJc w:val="left"/>
      <w:pPr>
        <w:ind w:left="837" w:hanging="360"/>
      </w:pPr>
    </w:lvl>
    <w:lvl w:ilvl="1" w:tplc="14090019" w:tentative="1">
      <w:start w:val="1"/>
      <w:numFmt w:val="lowerLetter"/>
      <w:lvlText w:val="%2."/>
      <w:lvlJc w:val="left"/>
      <w:pPr>
        <w:ind w:left="1557" w:hanging="360"/>
      </w:pPr>
    </w:lvl>
    <w:lvl w:ilvl="2" w:tplc="1409001B" w:tentative="1">
      <w:start w:val="1"/>
      <w:numFmt w:val="lowerRoman"/>
      <w:lvlText w:val="%3."/>
      <w:lvlJc w:val="right"/>
      <w:pPr>
        <w:ind w:left="2277" w:hanging="180"/>
      </w:pPr>
    </w:lvl>
    <w:lvl w:ilvl="3" w:tplc="1409000F" w:tentative="1">
      <w:start w:val="1"/>
      <w:numFmt w:val="decimal"/>
      <w:lvlText w:val="%4."/>
      <w:lvlJc w:val="left"/>
      <w:pPr>
        <w:ind w:left="2997" w:hanging="360"/>
      </w:pPr>
    </w:lvl>
    <w:lvl w:ilvl="4" w:tplc="14090019" w:tentative="1">
      <w:start w:val="1"/>
      <w:numFmt w:val="lowerLetter"/>
      <w:lvlText w:val="%5."/>
      <w:lvlJc w:val="left"/>
      <w:pPr>
        <w:ind w:left="3717" w:hanging="360"/>
      </w:pPr>
    </w:lvl>
    <w:lvl w:ilvl="5" w:tplc="1409001B" w:tentative="1">
      <w:start w:val="1"/>
      <w:numFmt w:val="lowerRoman"/>
      <w:lvlText w:val="%6."/>
      <w:lvlJc w:val="right"/>
      <w:pPr>
        <w:ind w:left="4437" w:hanging="180"/>
      </w:pPr>
    </w:lvl>
    <w:lvl w:ilvl="6" w:tplc="1409000F" w:tentative="1">
      <w:start w:val="1"/>
      <w:numFmt w:val="decimal"/>
      <w:lvlText w:val="%7."/>
      <w:lvlJc w:val="left"/>
      <w:pPr>
        <w:ind w:left="5157" w:hanging="360"/>
      </w:pPr>
    </w:lvl>
    <w:lvl w:ilvl="7" w:tplc="14090019" w:tentative="1">
      <w:start w:val="1"/>
      <w:numFmt w:val="lowerLetter"/>
      <w:lvlText w:val="%8."/>
      <w:lvlJc w:val="left"/>
      <w:pPr>
        <w:ind w:left="5877" w:hanging="360"/>
      </w:pPr>
    </w:lvl>
    <w:lvl w:ilvl="8" w:tplc="1409001B" w:tentative="1">
      <w:start w:val="1"/>
      <w:numFmt w:val="lowerRoman"/>
      <w:lvlText w:val="%9."/>
      <w:lvlJc w:val="right"/>
      <w:pPr>
        <w:ind w:left="6597"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651172"/>
    <w:multiLevelType w:val="hybridMultilevel"/>
    <w:tmpl w:val="FA4E4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7"/>
  </w:num>
  <w:num w:numId="4">
    <w:abstractNumId w:val="4"/>
  </w:num>
  <w:num w:numId="5">
    <w:abstractNumId w:val="2"/>
  </w:num>
  <w:num w:numId="6">
    <w:abstractNumId w:val="24"/>
  </w:num>
  <w:num w:numId="7">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num>
  <w:num w:numId="10">
    <w:abstractNumId w:val="16"/>
  </w:num>
  <w:num w:numId="11">
    <w:abstractNumId w:val="7"/>
  </w:num>
  <w:num w:numId="12">
    <w:abstractNumId w:val="25"/>
  </w:num>
  <w:num w:numId="13">
    <w:abstractNumId w:val="8"/>
  </w:num>
  <w:num w:numId="14">
    <w:abstractNumId w:val="3"/>
  </w:num>
  <w:num w:numId="15">
    <w:abstractNumId w:val="23"/>
  </w:num>
  <w:num w:numId="16">
    <w:abstractNumId w:val="11"/>
  </w:num>
  <w:num w:numId="17">
    <w:abstractNumId w:val="5"/>
  </w:num>
  <w:num w:numId="18">
    <w:abstractNumId w:val="12"/>
  </w:num>
  <w:num w:numId="19">
    <w:abstractNumId w:val="19"/>
  </w:num>
  <w:num w:numId="20">
    <w:abstractNumId w:val="15"/>
  </w:num>
  <w:num w:numId="21">
    <w:abstractNumId w:val="21"/>
  </w:num>
  <w:num w:numId="22">
    <w:abstractNumId w:val="14"/>
    <w:lvlOverride w:ilvl="0">
      <w:lvl w:ilvl="0">
        <w:start w:val="1"/>
        <w:numFmt w:val="decimal"/>
        <w:lvlText w:val="Section %1:"/>
        <w:lvlJc w:val="left"/>
        <w:pPr>
          <w:ind w:left="1437" w:hanging="360"/>
        </w:pPr>
        <w:rPr>
          <w:rFonts w:hint="default"/>
        </w:rPr>
      </w:lvl>
    </w:lvlOverride>
    <w:lvlOverride w:ilvl="1">
      <w:lvl w:ilvl="1">
        <w:start w:val="1"/>
        <w:numFmt w:val="lowerLetter"/>
        <w:lvlText w:val="%2."/>
        <w:lvlJc w:val="left"/>
        <w:pPr>
          <w:ind w:left="2157" w:hanging="360"/>
        </w:pPr>
      </w:lvl>
    </w:lvlOverride>
    <w:lvlOverride w:ilvl="2">
      <w:lvl w:ilvl="2">
        <w:start w:val="1"/>
        <w:numFmt w:val="lowerRoman"/>
        <w:lvlText w:val="%3."/>
        <w:lvlJc w:val="right"/>
        <w:pPr>
          <w:ind w:left="2877" w:hanging="180"/>
        </w:pPr>
      </w:lvl>
    </w:lvlOverride>
    <w:lvlOverride w:ilvl="3">
      <w:lvl w:ilvl="3">
        <w:start w:val="1"/>
        <w:numFmt w:val="decimal"/>
        <w:lvlText w:val="%4."/>
        <w:lvlJc w:val="left"/>
        <w:pPr>
          <w:ind w:left="3597" w:hanging="360"/>
        </w:pPr>
      </w:lvl>
    </w:lvlOverride>
    <w:lvlOverride w:ilvl="4">
      <w:lvl w:ilvl="4" w:tentative="1">
        <w:start w:val="1"/>
        <w:numFmt w:val="lowerLetter"/>
        <w:lvlText w:val="%5."/>
        <w:lvlJc w:val="left"/>
        <w:pPr>
          <w:ind w:left="4317" w:hanging="360"/>
        </w:pPr>
      </w:lvl>
    </w:lvlOverride>
    <w:lvlOverride w:ilvl="5">
      <w:lvl w:ilvl="5" w:tentative="1">
        <w:start w:val="1"/>
        <w:numFmt w:val="lowerRoman"/>
        <w:lvlText w:val="%6."/>
        <w:lvlJc w:val="right"/>
        <w:pPr>
          <w:ind w:left="5037" w:hanging="180"/>
        </w:pPr>
      </w:lvl>
    </w:lvlOverride>
    <w:lvlOverride w:ilvl="6">
      <w:lvl w:ilvl="6" w:tentative="1">
        <w:start w:val="1"/>
        <w:numFmt w:val="decimal"/>
        <w:lvlText w:val="%7."/>
        <w:lvlJc w:val="left"/>
        <w:pPr>
          <w:ind w:left="5757" w:hanging="360"/>
        </w:pPr>
      </w:lvl>
    </w:lvlOverride>
    <w:lvlOverride w:ilvl="7">
      <w:lvl w:ilvl="7" w:tentative="1">
        <w:start w:val="1"/>
        <w:numFmt w:val="lowerLetter"/>
        <w:lvlText w:val="%8."/>
        <w:lvlJc w:val="left"/>
        <w:pPr>
          <w:ind w:left="6477" w:hanging="360"/>
        </w:pPr>
      </w:lvl>
    </w:lvlOverride>
    <w:lvlOverride w:ilvl="8">
      <w:lvl w:ilvl="8" w:tentative="1">
        <w:start w:val="1"/>
        <w:numFmt w:val="lowerRoman"/>
        <w:lvlText w:val="%9."/>
        <w:lvlJc w:val="right"/>
        <w:pPr>
          <w:ind w:left="7197" w:hanging="180"/>
        </w:pPr>
      </w:lvl>
    </w:lvlOverride>
  </w:num>
  <w:num w:numId="23">
    <w:abstractNumId w:val="20"/>
  </w:num>
  <w:num w:numId="24">
    <w:abstractNumId w:val="9"/>
  </w:num>
  <w:num w:numId="25">
    <w:abstractNumId w:val="30"/>
  </w:num>
  <w:num w:numId="26">
    <w:abstractNumId w:val="14"/>
  </w:num>
  <w:num w:numId="27">
    <w:abstractNumId w:val="22"/>
  </w:num>
  <w:num w:numId="28">
    <w:abstractNumId w:val="27"/>
  </w:num>
  <w:num w:numId="29">
    <w:abstractNumId w:val="18"/>
  </w:num>
  <w:num w:numId="30">
    <w:abstractNumId w:val="14"/>
    <w:lvlOverride w:ilvl="0">
      <w:lvl w:ilvl="0">
        <w:start w:val="1"/>
        <w:numFmt w:val="decimal"/>
        <w:lvlText w:val="Section %1"/>
        <w:lvlJc w:val="left"/>
        <w:pPr>
          <w:ind w:left="1440" w:hanging="363"/>
        </w:pPr>
        <w:rPr>
          <w:rFonts w:hint="default"/>
          <w:strike w:val="0"/>
        </w:rPr>
      </w:lvl>
    </w:lvlOverride>
  </w:num>
  <w:num w:numId="31">
    <w:abstractNumId w:val="14"/>
    <w:lvlOverride w:ilvl="0">
      <w:lvl w:ilvl="0">
        <w:start w:val="1"/>
        <w:numFmt w:val="decimal"/>
        <w:lvlText w:val="Section %1"/>
        <w:lvlJc w:val="left"/>
        <w:pPr>
          <w:ind w:left="1440" w:hanging="363"/>
        </w:pPr>
        <w:rPr>
          <w:rFonts w:hint="default"/>
          <w:strike w:val="0"/>
        </w:rPr>
      </w:lvl>
    </w:lvlOverride>
  </w:num>
  <w:num w:numId="32">
    <w:abstractNumId w:val="14"/>
    <w:lvlOverride w:ilvl="0">
      <w:lvl w:ilvl="0">
        <w:start w:val="1"/>
        <w:numFmt w:val="decimal"/>
        <w:lvlText w:val="Section %1"/>
        <w:lvlJc w:val="left"/>
        <w:pPr>
          <w:ind w:left="1440" w:hanging="363"/>
        </w:pPr>
        <w:rPr>
          <w:rFonts w:hint="default"/>
          <w:strike w:val="0"/>
        </w:rPr>
      </w:lvl>
    </w:lvlOverride>
  </w:num>
  <w:num w:numId="33">
    <w:abstractNumId w:val="14"/>
    <w:lvlOverride w:ilvl="0">
      <w:lvl w:ilvl="0">
        <w:start w:val="1"/>
        <w:numFmt w:val="decimal"/>
        <w:lvlText w:val="Section %1"/>
        <w:lvlJc w:val="left"/>
        <w:pPr>
          <w:ind w:left="1440" w:hanging="363"/>
        </w:pPr>
        <w:rPr>
          <w:rFonts w:hint="default"/>
          <w:strike w:val="0"/>
        </w:rPr>
      </w:lvl>
    </w:lvlOverride>
  </w:num>
  <w:num w:numId="34">
    <w:abstractNumId w:val="14"/>
    <w:lvlOverride w:ilvl="0">
      <w:lvl w:ilvl="0">
        <w:start w:val="1"/>
        <w:numFmt w:val="decimal"/>
        <w:lvlText w:val="Section %1"/>
        <w:lvlJc w:val="left"/>
        <w:pPr>
          <w:ind w:left="1440" w:hanging="363"/>
        </w:pPr>
        <w:rPr>
          <w:rFonts w:hint="default"/>
          <w:strike w:val="0"/>
        </w:rPr>
      </w:lvl>
    </w:lvlOverride>
  </w:num>
  <w:num w:numId="35">
    <w:abstractNumId w:val="0"/>
  </w:num>
  <w:num w:numId="36">
    <w:abstractNumId w:val="1"/>
  </w:num>
  <w:num w:numId="37">
    <w:abstractNumId w:val="26"/>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7384"/>
    <w:rsid w:val="000245A4"/>
    <w:rsid w:val="00025A6F"/>
    <w:rsid w:val="0002618D"/>
    <w:rsid w:val="00030746"/>
    <w:rsid w:val="00030B26"/>
    <w:rsid w:val="00030E84"/>
    <w:rsid w:val="00032C0A"/>
    <w:rsid w:val="00035257"/>
    <w:rsid w:val="00035C17"/>
    <w:rsid w:val="00035D68"/>
    <w:rsid w:val="00036027"/>
    <w:rsid w:val="00045613"/>
    <w:rsid w:val="00047899"/>
    <w:rsid w:val="00053921"/>
    <w:rsid w:val="00054B44"/>
    <w:rsid w:val="0006006B"/>
    <w:rsid w:val="0006228D"/>
    <w:rsid w:val="000712C6"/>
    <w:rsid w:val="00072BD6"/>
    <w:rsid w:val="000739AA"/>
    <w:rsid w:val="00075B78"/>
    <w:rsid w:val="000763E9"/>
    <w:rsid w:val="00082CD6"/>
    <w:rsid w:val="00084151"/>
    <w:rsid w:val="0008437D"/>
    <w:rsid w:val="00085AFE"/>
    <w:rsid w:val="00094800"/>
    <w:rsid w:val="00094BC6"/>
    <w:rsid w:val="00095A52"/>
    <w:rsid w:val="000A0158"/>
    <w:rsid w:val="000A373D"/>
    <w:rsid w:val="000A41ED"/>
    <w:rsid w:val="000B0730"/>
    <w:rsid w:val="000B2F62"/>
    <w:rsid w:val="000C7335"/>
    <w:rsid w:val="000D19F4"/>
    <w:rsid w:val="000D37D6"/>
    <w:rsid w:val="000D58DD"/>
    <w:rsid w:val="000E7D0E"/>
    <w:rsid w:val="000F1F42"/>
    <w:rsid w:val="000F2AE2"/>
    <w:rsid w:val="000F2BFF"/>
    <w:rsid w:val="000F3765"/>
    <w:rsid w:val="00102063"/>
    <w:rsid w:val="0010541C"/>
    <w:rsid w:val="00105770"/>
    <w:rsid w:val="00106F93"/>
    <w:rsid w:val="00111D50"/>
    <w:rsid w:val="00113B8E"/>
    <w:rsid w:val="00117F59"/>
    <w:rsid w:val="0012053C"/>
    <w:rsid w:val="00122363"/>
    <w:rsid w:val="00125D45"/>
    <w:rsid w:val="001342C7"/>
    <w:rsid w:val="0013585C"/>
    <w:rsid w:val="00141538"/>
    <w:rsid w:val="00142261"/>
    <w:rsid w:val="00142954"/>
    <w:rsid w:val="001460E0"/>
    <w:rsid w:val="001472F0"/>
    <w:rsid w:val="00147F71"/>
    <w:rsid w:val="00150A6E"/>
    <w:rsid w:val="0016304B"/>
    <w:rsid w:val="0016318F"/>
    <w:rsid w:val="0016468A"/>
    <w:rsid w:val="00167677"/>
    <w:rsid w:val="0017070E"/>
    <w:rsid w:val="00174F02"/>
    <w:rsid w:val="001774AA"/>
    <w:rsid w:val="0018184B"/>
    <w:rsid w:val="0018376C"/>
    <w:rsid w:val="0018662D"/>
    <w:rsid w:val="00197427"/>
    <w:rsid w:val="001A21B4"/>
    <w:rsid w:val="001A5CF5"/>
    <w:rsid w:val="001B19C9"/>
    <w:rsid w:val="001B30E5"/>
    <w:rsid w:val="001B39D2"/>
    <w:rsid w:val="001B4BF8"/>
    <w:rsid w:val="001B7B14"/>
    <w:rsid w:val="001C0157"/>
    <w:rsid w:val="001C0FFF"/>
    <w:rsid w:val="001C30AE"/>
    <w:rsid w:val="001C4326"/>
    <w:rsid w:val="001C665E"/>
    <w:rsid w:val="001C678E"/>
    <w:rsid w:val="001D3541"/>
    <w:rsid w:val="001D3E4E"/>
    <w:rsid w:val="001E254A"/>
    <w:rsid w:val="001E7386"/>
    <w:rsid w:val="001F45A7"/>
    <w:rsid w:val="001F5E27"/>
    <w:rsid w:val="001F64C6"/>
    <w:rsid w:val="0020027C"/>
    <w:rsid w:val="00201A01"/>
    <w:rsid w:val="0020754B"/>
    <w:rsid w:val="002104D3"/>
    <w:rsid w:val="00213A33"/>
    <w:rsid w:val="0021763B"/>
    <w:rsid w:val="00225031"/>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7275C"/>
    <w:rsid w:val="0027461A"/>
    <w:rsid w:val="00275D08"/>
    <w:rsid w:val="002839AF"/>
    <w:rsid w:val="002842EA"/>
    <w:rsid w:val="002858E3"/>
    <w:rsid w:val="0029190A"/>
    <w:rsid w:val="00292C5A"/>
    <w:rsid w:val="00295241"/>
    <w:rsid w:val="002A4DFC"/>
    <w:rsid w:val="002B047D"/>
    <w:rsid w:val="002B732B"/>
    <w:rsid w:val="002B76A7"/>
    <w:rsid w:val="002B7BEC"/>
    <w:rsid w:val="002C0B97"/>
    <w:rsid w:val="002C1056"/>
    <w:rsid w:val="002C2219"/>
    <w:rsid w:val="002C2552"/>
    <w:rsid w:val="002C380A"/>
    <w:rsid w:val="002D0DF2"/>
    <w:rsid w:val="002D23BD"/>
    <w:rsid w:val="002E0B47"/>
    <w:rsid w:val="002E7563"/>
    <w:rsid w:val="002F3A0D"/>
    <w:rsid w:val="002F4685"/>
    <w:rsid w:val="002F7213"/>
    <w:rsid w:val="0030382F"/>
    <w:rsid w:val="0030408D"/>
    <w:rsid w:val="003060E4"/>
    <w:rsid w:val="00311CF4"/>
    <w:rsid w:val="003160E7"/>
    <w:rsid w:val="0031739E"/>
    <w:rsid w:val="00317DA3"/>
    <w:rsid w:val="00321381"/>
    <w:rsid w:val="003235C6"/>
    <w:rsid w:val="003309CA"/>
    <w:rsid w:val="00331A25"/>
    <w:rsid w:val="003325AB"/>
    <w:rsid w:val="003332D1"/>
    <w:rsid w:val="00333FED"/>
    <w:rsid w:val="0033412B"/>
    <w:rsid w:val="0033448B"/>
    <w:rsid w:val="00337838"/>
    <w:rsid w:val="00341161"/>
    <w:rsid w:val="00343365"/>
    <w:rsid w:val="003445F4"/>
    <w:rsid w:val="003450E8"/>
    <w:rsid w:val="00353501"/>
    <w:rsid w:val="00353734"/>
    <w:rsid w:val="003538D4"/>
    <w:rsid w:val="003545F5"/>
    <w:rsid w:val="003606F8"/>
    <w:rsid w:val="003648EF"/>
    <w:rsid w:val="003673E6"/>
    <w:rsid w:val="00371E7E"/>
    <w:rsid w:val="00377264"/>
    <w:rsid w:val="003779D2"/>
    <w:rsid w:val="0038199E"/>
    <w:rsid w:val="00385355"/>
    <w:rsid w:val="00385E38"/>
    <w:rsid w:val="00386795"/>
    <w:rsid w:val="00394F7F"/>
    <w:rsid w:val="003A26A5"/>
    <w:rsid w:val="003A3761"/>
    <w:rsid w:val="003A512D"/>
    <w:rsid w:val="003A5FEA"/>
    <w:rsid w:val="003A710B"/>
    <w:rsid w:val="003B1D10"/>
    <w:rsid w:val="003B57A0"/>
    <w:rsid w:val="003C310C"/>
    <w:rsid w:val="003C76D4"/>
    <w:rsid w:val="003D137D"/>
    <w:rsid w:val="003D2CC5"/>
    <w:rsid w:val="003D3E5C"/>
    <w:rsid w:val="003E04C1"/>
    <w:rsid w:val="003E0887"/>
    <w:rsid w:val="003E3865"/>
    <w:rsid w:val="003E74C8"/>
    <w:rsid w:val="003E74E2"/>
    <w:rsid w:val="003E7C46"/>
    <w:rsid w:val="003F2106"/>
    <w:rsid w:val="003F44BE"/>
    <w:rsid w:val="003F52A7"/>
    <w:rsid w:val="003F7013"/>
    <w:rsid w:val="003F7F6A"/>
    <w:rsid w:val="0040240C"/>
    <w:rsid w:val="00413021"/>
    <w:rsid w:val="00414C35"/>
    <w:rsid w:val="004171B7"/>
    <w:rsid w:val="00420D66"/>
    <w:rsid w:val="00424C53"/>
    <w:rsid w:val="004301C6"/>
    <w:rsid w:val="00433FB2"/>
    <w:rsid w:val="0043478F"/>
    <w:rsid w:val="0043602B"/>
    <w:rsid w:val="004367D2"/>
    <w:rsid w:val="00440BE0"/>
    <w:rsid w:val="00440F14"/>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2202"/>
    <w:rsid w:val="004852AB"/>
    <w:rsid w:val="00487C04"/>
    <w:rsid w:val="004907E1"/>
    <w:rsid w:val="00490900"/>
    <w:rsid w:val="00494C8E"/>
    <w:rsid w:val="004A035B"/>
    <w:rsid w:val="004A13D1"/>
    <w:rsid w:val="004A1E15"/>
    <w:rsid w:val="004A2108"/>
    <w:rsid w:val="004A38D7"/>
    <w:rsid w:val="004A5C95"/>
    <w:rsid w:val="004A778C"/>
    <w:rsid w:val="004B14DD"/>
    <w:rsid w:val="004B3536"/>
    <w:rsid w:val="004B48C7"/>
    <w:rsid w:val="004B7926"/>
    <w:rsid w:val="004C2E6A"/>
    <w:rsid w:val="004C64B8"/>
    <w:rsid w:val="004D2A2D"/>
    <w:rsid w:val="004D3914"/>
    <w:rsid w:val="004D479F"/>
    <w:rsid w:val="004D6689"/>
    <w:rsid w:val="004E1D1D"/>
    <w:rsid w:val="004E2375"/>
    <w:rsid w:val="004E333C"/>
    <w:rsid w:val="004E3A1B"/>
    <w:rsid w:val="004E7AC8"/>
    <w:rsid w:val="004F05F4"/>
    <w:rsid w:val="004F0C94"/>
    <w:rsid w:val="004F4ABE"/>
    <w:rsid w:val="005019AE"/>
    <w:rsid w:val="00503749"/>
    <w:rsid w:val="00503D59"/>
    <w:rsid w:val="00504CF4"/>
    <w:rsid w:val="0050635B"/>
    <w:rsid w:val="005075B3"/>
    <w:rsid w:val="00511891"/>
    <w:rsid w:val="005151C2"/>
    <w:rsid w:val="00515750"/>
    <w:rsid w:val="00522A41"/>
    <w:rsid w:val="005275E8"/>
    <w:rsid w:val="005309FE"/>
    <w:rsid w:val="0053199F"/>
    <w:rsid w:val="00531E12"/>
    <w:rsid w:val="00533B90"/>
    <w:rsid w:val="005410F8"/>
    <w:rsid w:val="005448EC"/>
    <w:rsid w:val="0054528E"/>
    <w:rsid w:val="00545963"/>
    <w:rsid w:val="00550256"/>
    <w:rsid w:val="00553165"/>
    <w:rsid w:val="00553958"/>
    <w:rsid w:val="00556BB7"/>
    <w:rsid w:val="0055763D"/>
    <w:rsid w:val="00561516"/>
    <w:rsid w:val="005621F2"/>
    <w:rsid w:val="00567B58"/>
    <w:rsid w:val="00571223"/>
    <w:rsid w:val="005756F8"/>
    <w:rsid w:val="005763E0"/>
    <w:rsid w:val="00576C17"/>
    <w:rsid w:val="00581136"/>
    <w:rsid w:val="00581EB8"/>
    <w:rsid w:val="005827A6"/>
    <w:rsid w:val="005839E7"/>
    <w:rsid w:val="0058437F"/>
    <w:rsid w:val="005A27CA"/>
    <w:rsid w:val="005A43BD"/>
    <w:rsid w:val="005A5C19"/>
    <w:rsid w:val="005A7968"/>
    <w:rsid w:val="005A79E5"/>
    <w:rsid w:val="005B59F3"/>
    <w:rsid w:val="005B68A6"/>
    <w:rsid w:val="005D034C"/>
    <w:rsid w:val="005D50B4"/>
    <w:rsid w:val="005E11C7"/>
    <w:rsid w:val="005E226E"/>
    <w:rsid w:val="005E2636"/>
    <w:rsid w:val="005E522D"/>
    <w:rsid w:val="005F0388"/>
    <w:rsid w:val="005F6B52"/>
    <w:rsid w:val="006015D7"/>
    <w:rsid w:val="00601B21"/>
    <w:rsid w:val="006041F0"/>
    <w:rsid w:val="00605BE8"/>
    <w:rsid w:val="00605C6D"/>
    <w:rsid w:val="00606CDC"/>
    <w:rsid w:val="00610487"/>
    <w:rsid w:val="006120CA"/>
    <w:rsid w:val="0061443A"/>
    <w:rsid w:val="00624174"/>
    <w:rsid w:val="00626CF8"/>
    <w:rsid w:val="006314AF"/>
    <w:rsid w:val="006331CD"/>
    <w:rsid w:val="00634003"/>
    <w:rsid w:val="006342BC"/>
    <w:rsid w:val="00634ED8"/>
    <w:rsid w:val="00635292"/>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80A04"/>
    <w:rsid w:val="00686D80"/>
    <w:rsid w:val="00694895"/>
    <w:rsid w:val="00697E2E"/>
    <w:rsid w:val="006A25A2"/>
    <w:rsid w:val="006A3B87"/>
    <w:rsid w:val="006B0A88"/>
    <w:rsid w:val="006B0E73"/>
    <w:rsid w:val="006B1A77"/>
    <w:rsid w:val="006B1E3D"/>
    <w:rsid w:val="006B4A4D"/>
    <w:rsid w:val="006B5695"/>
    <w:rsid w:val="006B62E6"/>
    <w:rsid w:val="006B7B2E"/>
    <w:rsid w:val="006C06DD"/>
    <w:rsid w:val="006C78EB"/>
    <w:rsid w:val="006D1660"/>
    <w:rsid w:val="006D63E5"/>
    <w:rsid w:val="006E1753"/>
    <w:rsid w:val="006E2886"/>
    <w:rsid w:val="006E31C4"/>
    <w:rsid w:val="006E3911"/>
    <w:rsid w:val="006E69F4"/>
    <w:rsid w:val="006F1B67"/>
    <w:rsid w:val="006F4D9C"/>
    <w:rsid w:val="006F5C10"/>
    <w:rsid w:val="006F7BA5"/>
    <w:rsid w:val="0070091D"/>
    <w:rsid w:val="00702088"/>
    <w:rsid w:val="00702854"/>
    <w:rsid w:val="00703E43"/>
    <w:rsid w:val="00707425"/>
    <w:rsid w:val="00712491"/>
    <w:rsid w:val="0071741C"/>
    <w:rsid w:val="00725D81"/>
    <w:rsid w:val="00726C84"/>
    <w:rsid w:val="007348D8"/>
    <w:rsid w:val="00742B90"/>
    <w:rsid w:val="0074406E"/>
    <w:rsid w:val="0074434D"/>
    <w:rsid w:val="00752E53"/>
    <w:rsid w:val="00755398"/>
    <w:rsid w:val="00756F86"/>
    <w:rsid w:val="007570C4"/>
    <w:rsid w:val="0075746C"/>
    <w:rsid w:val="00760057"/>
    <w:rsid w:val="007605B8"/>
    <w:rsid w:val="007625C0"/>
    <w:rsid w:val="007653E3"/>
    <w:rsid w:val="0077112D"/>
    <w:rsid w:val="00771B1E"/>
    <w:rsid w:val="00773C95"/>
    <w:rsid w:val="00774AB9"/>
    <w:rsid w:val="0078171E"/>
    <w:rsid w:val="0078658E"/>
    <w:rsid w:val="00790AD3"/>
    <w:rsid w:val="007920E2"/>
    <w:rsid w:val="007953D4"/>
    <w:rsid w:val="0079566E"/>
    <w:rsid w:val="00795B34"/>
    <w:rsid w:val="007A067F"/>
    <w:rsid w:val="007B1770"/>
    <w:rsid w:val="007B4D3E"/>
    <w:rsid w:val="007B7C70"/>
    <w:rsid w:val="007B7DEB"/>
    <w:rsid w:val="007C0449"/>
    <w:rsid w:val="007C43B6"/>
    <w:rsid w:val="007D2151"/>
    <w:rsid w:val="007D3803"/>
    <w:rsid w:val="007D3B90"/>
    <w:rsid w:val="007D42CC"/>
    <w:rsid w:val="007D5DE4"/>
    <w:rsid w:val="007D7C3A"/>
    <w:rsid w:val="007E0205"/>
    <w:rsid w:val="007E0777"/>
    <w:rsid w:val="007E1341"/>
    <w:rsid w:val="007E1AE6"/>
    <w:rsid w:val="007E1B41"/>
    <w:rsid w:val="007E1EC4"/>
    <w:rsid w:val="007E30B9"/>
    <w:rsid w:val="007E537A"/>
    <w:rsid w:val="007E611C"/>
    <w:rsid w:val="007E74F1"/>
    <w:rsid w:val="007F0F0C"/>
    <w:rsid w:val="007F1288"/>
    <w:rsid w:val="007F3E11"/>
    <w:rsid w:val="00800A8A"/>
    <w:rsid w:val="0080155C"/>
    <w:rsid w:val="008017DC"/>
    <w:rsid w:val="00805141"/>
    <w:rsid w:val="008052E1"/>
    <w:rsid w:val="00811EEB"/>
    <w:rsid w:val="0082081A"/>
    <w:rsid w:val="00822D9D"/>
    <w:rsid w:val="00822F2C"/>
    <w:rsid w:val="00823DEE"/>
    <w:rsid w:val="008305E8"/>
    <w:rsid w:val="00836165"/>
    <w:rsid w:val="008365B2"/>
    <w:rsid w:val="0084640C"/>
    <w:rsid w:val="00856088"/>
    <w:rsid w:val="0085711A"/>
    <w:rsid w:val="00860826"/>
    <w:rsid w:val="00860E21"/>
    <w:rsid w:val="00862272"/>
    <w:rsid w:val="00863117"/>
    <w:rsid w:val="0086388B"/>
    <w:rsid w:val="008642E5"/>
    <w:rsid w:val="00864488"/>
    <w:rsid w:val="00870A36"/>
    <w:rsid w:val="00871394"/>
    <w:rsid w:val="00871507"/>
    <w:rsid w:val="00872D93"/>
    <w:rsid w:val="00880470"/>
    <w:rsid w:val="00880D94"/>
    <w:rsid w:val="008814E8"/>
    <w:rsid w:val="008823F8"/>
    <w:rsid w:val="00886F64"/>
    <w:rsid w:val="008924DE"/>
    <w:rsid w:val="008A09FC"/>
    <w:rsid w:val="008A3755"/>
    <w:rsid w:val="008B19DC"/>
    <w:rsid w:val="008B264F"/>
    <w:rsid w:val="008B5640"/>
    <w:rsid w:val="008B5D08"/>
    <w:rsid w:val="008B6F83"/>
    <w:rsid w:val="008B7FD8"/>
    <w:rsid w:val="008C2973"/>
    <w:rsid w:val="008C6324"/>
    <w:rsid w:val="008C64C4"/>
    <w:rsid w:val="008C66DB"/>
    <w:rsid w:val="008D2CDD"/>
    <w:rsid w:val="008D74D5"/>
    <w:rsid w:val="008D7C9F"/>
    <w:rsid w:val="008E04BA"/>
    <w:rsid w:val="008E0ED1"/>
    <w:rsid w:val="008E155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231A"/>
    <w:rsid w:val="0095565C"/>
    <w:rsid w:val="00964AB6"/>
    <w:rsid w:val="00966F9A"/>
    <w:rsid w:val="00975115"/>
    <w:rsid w:val="00977B8A"/>
    <w:rsid w:val="00982971"/>
    <w:rsid w:val="009845AD"/>
    <w:rsid w:val="00984835"/>
    <w:rsid w:val="009918A6"/>
    <w:rsid w:val="009933EF"/>
    <w:rsid w:val="00995BA0"/>
    <w:rsid w:val="009A27DA"/>
    <w:rsid w:val="009A418B"/>
    <w:rsid w:val="009A426F"/>
    <w:rsid w:val="009A42D5"/>
    <w:rsid w:val="009A4473"/>
    <w:rsid w:val="009B05C9"/>
    <w:rsid w:val="009B0715"/>
    <w:rsid w:val="009B286C"/>
    <w:rsid w:val="009C151C"/>
    <w:rsid w:val="009C440A"/>
    <w:rsid w:val="009C6E70"/>
    <w:rsid w:val="009D2A09"/>
    <w:rsid w:val="009D3F99"/>
    <w:rsid w:val="009D5125"/>
    <w:rsid w:val="009D5457"/>
    <w:rsid w:val="009D60B8"/>
    <w:rsid w:val="009D7D4B"/>
    <w:rsid w:val="009E36ED"/>
    <w:rsid w:val="009E3B47"/>
    <w:rsid w:val="009E3C8C"/>
    <w:rsid w:val="009E5286"/>
    <w:rsid w:val="009E624D"/>
    <w:rsid w:val="009E6B77"/>
    <w:rsid w:val="009F4372"/>
    <w:rsid w:val="009F460A"/>
    <w:rsid w:val="00A002DB"/>
    <w:rsid w:val="00A02A3C"/>
    <w:rsid w:val="00A043FB"/>
    <w:rsid w:val="00A05086"/>
    <w:rsid w:val="00A06BE4"/>
    <w:rsid w:val="00A0729C"/>
    <w:rsid w:val="00A073CF"/>
    <w:rsid w:val="00A07779"/>
    <w:rsid w:val="00A1166A"/>
    <w:rsid w:val="00A20B2E"/>
    <w:rsid w:val="00A24770"/>
    <w:rsid w:val="00A24F33"/>
    <w:rsid w:val="00A25069"/>
    <w:rsid w:val="00A26E6B"/>
    <w:rsid w:val="00A3068F"/>
    <w:rsid w:val="00A3145B"/>
    <w:rsid w:val="00A339D0"/>
    <w:rsid w:val="00A3415C"/>
    <w:rsid w:val="00A41002"/>
    <w:rsid w:val="00A4201A"/>
    <w:rsid w:val="00A5465D"/>
    <w:rsid w:val="00A553CE"/>
    <w:rsid w:val="00A5677A"/>
    <w:rsid w:val="00A56DCC"/>
    <w:rsid w:val="00A613AF"/>
    <w:rsid w:val="00A625E8"/>
    <w:rsid w:val="00A631C3"/>
    <w:rsid w:val="00A63DFF"/>
    <w:rsid w:val="00A64496"/>
    <w:rsid w:val="00A6490D"/>
    <w:rsid w:val="00A67033"/>
    <w:rsid w:val="00A700B2"/>
    <w:rsid w:val="00A7415D"/>
    <w:rsid w:val="00A80363"/>
    <w:rsid w:val="00A80939"/>
    <w:rsid w:val="00A83E9D"/>
    <w:rsid w:val="00A87C05"/>
    <w:rsid w:val="00A9169D"/>
    <w:rsid w:val="00A93598"/>
    <w:rsid w:val="00A97A3A"/>
    <w:rsid w:val="00AA240C"/>
    <w:rsid w:val="00AB0332"/>
    <w:rsid w:val="00AC101C"/>
    <w:rsid w:val="00AC489F"/>
    <w:rsid w:val="00AD4CF1"/>
    <w:rsid w:val="00AD5988"/>
    <w:rsid w:val="00AD6293"/>
    <w:rsid w:val="00AE1643"/>
    <w:rsid w:val="00AE16AF"/>
    <w:rsid w:val="00AE539E"/>
    <w:rsid w:val="00AF372E"/>
    <w:rsid w:val="00AF7800"/>
    <w:rsid w:val="00B00CF5"/>
    <w:rsid w:val="00B024F5"/>
    <w:rsid w:val="00B072E0"/>
    <w:rsid w:val="00B1007E"/>
    <w:rsid w:val="00B12B2A"/>
    <w:rsid w:val="00B13D41"/>
    <w:rsid w:val="00B22873"/>
    <w:rsid w:val="00B253F6"/>
    <w:rsid w:val="00B26675"/>
    <w:rsid w:val="00B26A0A"/>
    <w:rsid w:val="00B305DB"/>
    <w:rsid w:val="00B305F6"/>
    <w:rsid w:val="00B30B75"/>
    <w:rsid w:val="00B332F8"/>
    <w:rsid w:val="00B3492B"/>
    <w:rsid w:val="00B4008E"/>
    <w:rsid w:val="00B4341A"/>
    <w:rsid w:val="00B441E1"/>
    <w:rsid w:val="00B4646F"/>
    <w:rsid w:val="00B55C7D"/>
    <w:rsid w:val="00B56592"/>
    <w:rsid w:val="00B62EFE"/>
    <w:rsid w:val="00B63038"/>
    <w:rsid w:val="00B63785"/>
    <w:rsid w:val="00B64BD8"/>
    <w:rsid w:val="00B701D1"/>
    <w:rsid w:val="00B711F0"/>
    <w:rsid w:val="00B73AF2"/>
    <w:rsid w:val="00B73D79"/>
    <w:rsid w:val="00B7551A"/>
    <w:rsid w:val="00B773F1"/>
    <w:rsid w:val="00B86AB1"/>
    <w:rsid w:val="00B87726"/>
    <w:rsid w:val="00B91B22"/>
    <w:rsid w:val="00BA40E1"/>
    <w:rsid w:val="00BA7EBA"/>
    <w:rsid w:val="00BB2A06"/>
    <w:rsid w:val="00BB2CBB"/>
    <w:rsid w:val="00BB4198"/>
    <w:rsid w:val="00BB6F9B"/>
    <w:rsid w:val="00BC03EE"/>
    <w:rsid w:val="00BC59F1"/>
    <w:rsid w:val="00BD488E"/>
    <w:rsid w:val="00BD59EB"/>
    <w:rsid w:val="00BE06F8"/>
    <w:rsid w:val="00BF16CD"/>
    <w:rsid w:val="00BF3DE1"/>
    <w:rsid w:val="00BF4843"/>
    <w:rsid w:val="00BF5205"/>
    <w:rsid w:val="00C05132"/>
    <w:rsid w:val="00C11B3F"/>
    <w:rsid w:val="00C12508"/>
    <w:rsid w:val="00C23728"/>
    <w:rsid w:val="00C239E7"/>
    <w:rsid w:val="00C3026C"/>
    <w:rsid w:val="00C313A9"/>
    <w:rsid w:val="00C347C8"/>
    <w:rsid w:val="00C358E4"/>
    <w:rsid w:val="00C418EE"/>
    <w:rsid w:val="00C441CF"/>
    <w:rsid w:val="00C45AA2"/>
    <w:rsid w:val="00C4792C"/>
    <w:rsid w:val="00C55BEF"/>
    <w:rsid w:val="00C57C00"/>
    <w:rsid w:val="00C601AF"/>
    <w:rsid w:val="00C61A63"/>
    <w:rsid w:val="00C64C32"/>
    <w:rsid w:val="00C6604E"/>
    <w:rsid w:val="00C66296"/>
    <w:rsid w:val="00C7394D"/>
    <w:rsid w:val="00C73A06"/>
    <w:rsid w:val="00C756B7"/>
    <w:rsid w:val="00C77282"/>
    <w:rsid w:val="00C84DE5"/>
    <w:rsid w:val="00C86248"/>
    <w:rsid w:val="00C90B31"/>
    <w:rsid w:val="00CA0D6F"/>
    <w:rsid w:val="00CA43C1"/>
    <w:rsid w:val="00CA4C33"/>
    <w:rsid w:val="00CA6F4A"/>
    <w:rsid w:val="00CB3483"/>
    <w:rsid w:val="00CB6427"/>
    <w:rsid w:val="00CB7638"/>
    <w:rsid w:val="00CC0FBE"/>
    <w:rsid w:val="00CD077C"/>
    <w:rsid w:val="00CD2119"/>
    <w:rsid w:val="00CD237A"/>
    <w:rsid w:val="00CD36AC"/>
    <w:rsid w:val="00CE13A3"/>
    <w:rsid w:val="00CE36BC"/>
    <w:rsid w:val="00CF1747"/>
    <w:rsid w:val="00CF60ED"/>
    <w:rsid w:val="00D02A79"/>
    <w:rsid w:val="00D05D74"/>
    <w:rsid w:val="00D20C59"/>
    <w:rsid w:val="00D22249"/>
    <w:rsid w:val="00D23323"/>
    <w:rsid w:val="00D2392A"/>
    <w:rsid w:val="00D25FFE"/>
    <w:rsid w:val="00D27922"/>
    <w:rsid w:val="00D27A64"/>
    <w:rsid w:val="00D27F5A"/>
    <w:rsid w:val="00D371B0"/>
    <w:rsid w:val="00D37D80"/>
    <w:rsid w:val="00D442F3"/>
    <w:rsid w:val="00D44483"/>
    <w:rsid w:val="00D4476F"/>
    <w:rsid w:val="00D50573"/>
    <w:rsid w:val="00D51410"/>
    <w:rsid w:val="00D54D50"/>
    <w:rsid w:val="00D560B4"/>
    <w:rsid w:val="00D604E1"/>
    <w:rsid w:val="00D662F8"/>
    <w:rsid w:val="00D66797"/>
    <w:rsid w:val="00D7087C"/>
    <w:rsid w:val="00D70C3C"/>
    <w:rsid w:val="00D71DF7"/>
    <w:rsid w:val="00D72BE5"/>
    <w:rsid w:val="00D81462"/>
    <w:rsid w:val="00D81918"/>
    <w:rsid w:val="00D82431"/>
    <w:rsid w:val="00D82F26"/>
    <w:rsid w:val="00D863D0"/>
    <w:rsid w:val="00D86B00"/>
    <w:rsid w:val="00D86FB9"/>
    <w:rsid w:val="00D87C87"/>
    <w:rsid w:val="00D90BB4"/>
    <w:rsid w:val="00D90C9C"/>
    <w:rsid w:val="00D90E07"/>
    <w:rsid w:val="00D91B74"/>
    <w:rsid w:val="00D932C2"/>
    <w:rsid w:val="00D95A0C"/>
    <w:rsid w:val="00DA0232"/>
    <w:rsid w:val="00DA3956"/>
    <w:rsid w:val="00DA5314"/>
    <w:rsid w:val="00DA622E"/>
    <w:rsid w:val="00DA7F9E"/>
    <w:rsid w:val="00DB39CF"/>
    <w:rsid w:val="00DB7256"/>
    <w:rsid w:val="00DC0401"/>
    <w:rsid w:val="00DC1544"/>
    <w:rsid w:val="00DC20BD"/>
    <w:rsid w:val="00DD0BCD"/>
    <w:rsid w:val="00DD447A"/>
    <w:rsid w:val="00DE19EF"/>
    <w:rsid w:val="00DE3B20"/>
    <w:rsid w:val="00DE6C94"/>
    <w:rsid w:val="00DE6FD7"/>
    <w:rsid w:val="00DF0C7C"/>
    <w:rsid w:val="00DF232E"/>
    <w:rsid w:val="00DF6931"/>
    <w:rsid w:val="00E06BD5"/>
    <w:rsid w:val="00E10B18"/>
    <w:rsid w:val="00E1258D"/>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6723"/>
    <w:rsid w:val="00E57349"/>
    <w:rsid w:val="00E60249"/>
    <w:rsid w:val="00E62238"/>
    <w:rsid w:val="00E65269"/>
    <w:rsid w:val="00E724F3"/>
    <w:rsid w:val="00E76D66"/>
    <w:rsid w:val="00E80820"/>
    <w:rsid w:val="00E81759"/>
    <w:rsid w:val="00E93C5A"/>
    <w:rsid w:val="00EA6AC2"/>
    <w:rsid w:val="00EA796A"/>
    <w:rsid w:val="00EB1856"/>
    <w:rsid w:val="00EC50CE"/>
    <w:rsid w:val="00EC5B34"/>
    <w:rsid w:val="00ED021E"/>
    <w:rsid w:val="00ED323C"/>
    <w:rsid w:val="00ED778C"/>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20B1"/>
    <w:rsid w:val="00F434C9"/>
    <w:rsid w:val="00F5180D"/>
    <w:rsid w:val="00F54E74"/>
    <w:rsid w:val="00F63781"/>
    <w:rsid w:val="00F6576A"/>
    <w:rsid w:val="00F67496"/>
    <w:rsid w:val="00F7308E"/>
    <w:rsid w:val="00F7421E"/>
    <w:rsid w:val="00F75409"/>
    <w:rsid w:val="00F801BA"/>
    <w:rsid w:val="00F807AD"/>
    <w:rsid w:val="00F8400D"/>
    <w:rsid w:val="00F9366A"/>
    <w:rsid w:val="00F946C9"/>
    <w:rsid w:val="00FA0EA5"/>
    <w:rsid w:val="00FA26D9"/>
    <w:rsid w:val="00FA4E01"/>
    <w:rsid w:val="00FA68C7"/>
    <w:rsid w:val="00FA6910"/>
    <w:rsid w:val="00FA74EE"/>
    <w:rsid w:val="00FB0A5B"/>
    <w:rsid w:val="00FB554D"/>
    <w:rsid w:val="00FC09F7"/>
    <w:rsid w:val="00FC3711"/>
    <w:rsid w:val="00FC46E7"/>
    <w:rsid w:val="00FC5D25"/>
    <w:rsid w:val="00FD0D7E"/>
    <w:rsid w:val="00FD16C4"/>
    <w:rsid w:val="00FD362F"/>
    <w:rsid w:val="00FD47FE"/>
    <w:rsid w:val="00FD4DEB"/>
    <w:rsid w:val="00FD4FFB"/>
    <w:rsid w:val="00FE022F"/>
    <w:rsid w:val="00FE5FFD"/>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748F56"/>
  <w15:docId w15:val="{5EAD1331-0341-414E-977D-70DF392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9E"/>
    <w:pPr>
      <w:spacing w:before="180" w:line="264" w:lineRule="auto"/>
    </w:pPr>
    <w:rPr>
      <w:rFonts w:ascii="Avenir" w:hAnsi="Avenir"/>
      <w:sz w:val="22"/>
      <w:lang w:eastAsia="en-GB"/>
    </w:rPr>
  </w:style>
  <w:style w:type="paragraph" w:styleId="Heading1">
    <w:name w:val="heading 1"/>
    <w:basedOn w:val="Normal"/>
    <w:next w:val="Normal"/>
    <w:link w:val="Heading1Char"/>
    <w:uiPriority w:val="9"/>
    <w:qFormat/>
    <w:rsid w:val="00AE539E"/>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AE539E"/>
    <w:pPr>
      <w:keepNext/>
      <w:numPr>
        <w:ilvl w:val="1"/>
        <w:numId w:val="6"/>
      </w:numPr>
      <w:spacing w:before="720" w:line="240" w:lineRule="auto"/>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line="240" w:lineRule="auto"/>
      <w:outlineLvl w:val="2"/>
    </w:pPr>
    <w:rPr>
      <w:b/>
      <w:sz w:val="24"/>
    </w:rPr>
  </w:style>
  <w:style w:type="paragraph" w:styleId="Heading4">
    <w:name w:val="heading 4"/>
    <w:basedOn w:val="Normal"/>
    <w:next w:val="Normal"/>
    <w:link w:val="Heading4Char"/>
    <w:uiPriority w:val="1"/>
    <w:qFormat/>
    <w:rsid w:val="00420D66"/>
    <w:pPr>
      <w:keepNext/>
      <w:spacing w:before="360" w:line="240" w:lineRule="auto"/>
      <w:outlineLvl w:val="3"/>
    </w:pPr>
    <w:rPr>
      <w:b/>
      <w:i/>
    </w:rPr>
  </w:style>
  <w:style w:type="paragraph" w:styleId="Heading5">
    <w:name w:val="heading 5"/>
    <w:basedOn w:val="Normal"/>
    <w:next w:val="Normal"/>
    <w:link w:val="Heading5Char"/>
    <w:uiPriority w:val="9"/>
    <w:qFormat/>
    <w:rsid w:val="00337838"/>
    <w:pPr>
      <w:keepNext/>
      <w:spacing w:before="240" w:line="240" w:lineRule="auto"/>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AE539E"/>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line="240" w:lineRule="auto"/>
      <w:ind w:right="567"/>
    </w:pPr>
    <w:rPr>
      <w:b/>
    </w:rPr>
  </w:style>
  <w:style w:type="paragraph" w:styleId="TOC2">
    <w:name w:val="toc 2"/>
    <w:basedOn w:val="Normal"/>
    <w:next w:val="Normal"/>
    <w:uiPriority w:val="39"/>
    <w:qFormat/>
    <w:rsid w:val="008017DC"/>
    <w:pPr>
      <w:tabs>
        <w:tab w:val="right" w:leader="dot" w:pos="8789"/>
      </w:tabs>
      <w:spacing w:before="150" w:line="240" w:lineRule="auto"/>
      <w:ind w:left="567" w:right="567" w:hanging="567"/>
    </w:pPr>
  </w:style>
  <w:style w:type="paragraph" w:styleId="TOC3">
    <w:name w:val="toc 3"/>
    <w:basedOn w:val="Normal"/>
    <w:next w:val="Normal"/>
    <w:uiPriority w:val="39"/>
    <w:rsid w:val="0046210D"/>
    <w:pPr>
      <w:tabs>
        <w:tab w:val="right" w:leader="dot" w:pos="8789"/>
      </w:tabs>
      <w:spacing w:before="60" w:line="240" w:lineRule="auto"/>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line="240" w:lineRule="auto"/>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DF6931"/>
    <w:pPr>
      <w:spacing w:before="240" w:after="240" w:line="240" w:lineRule="auto"/>
    </w:pPr>
    <w:rPr>
      <w:rFonts w:ascii="Avenir Black" w:hAnsi="Avenir Black" w:cs="Lucida Sans Unicode"/>
      <w:b/>
      <w:caps/>
      <w:color w:val="076283"/>
      <w:sz w:val="56"/>
      <w:szCs w:val="72"/>
    </w:rPr>
  </w:style>
  <w:style w:type="character" w:customStyle="1" w:styleId="TitleChar">
    <w:name w:val="Title Char"/>
    <w:link w:val="Title"/>
    <w:uiPriority w:val="10"/>
    <w:rsid w:val="00DF6931"/>
    <w:rPr>
      <w:rFonts w:ascii="Avenir Black" w:hAnsi="Avenir Black" w:cs="Lucida Sans Unicode"/>
      <w:b/>
      <w:caps/>
      <w:color w:val="076283"/>
      <w:sz w:val="56"/>
      <w:szCs w:val="72"/>
      <w:lang w:eastAsia="en-GB"/>
    </w:rPr>
  </w:style>
  <w:style w:type="paragraph" w:customStyle="1" w:styleId="Imprint">
    <w:name w:val="Imprint"/>
    <w:basedOn w:val="Normal"/>
    <w:next w:val="Normal"/>
    <w:qFormat/>
    <w:rsid w:val="00141538"/>
    <w:pPr>
      <w:spacing w:line="240" w:lineRule="auto"/>
      <w:ind w:right="284"/>
      <w:jc w:val="right"/>
    </w:pPr>
    <w:rPr>
      <w:color w:val="FFFFFF" w:themeColor="background1"/>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line="240" w:lineRule="auto"/>
      <w:jc w:val="right"/>
    </w:pPr>
    <w:rPr>
      <w:caps/>
      <w:color w:val="076283"/>
      <w:sz w:val="16"/>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line="240" w:lineRule="auto"/>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E611C"/>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5827A6"/>
    <w:pPr>
      <w:pBdr>
        <w:top w:val="single" w:sz="4" w:space="12" w:color="auto"/>
        <w:left w:val="single" w:sz="4" w:space="12" w:color="auto"/>
        <w:bottom w:val="single" w:sz="4" w:space="12" w:color="auto"/>
        <w:right w:val="single" w:sz="4" w:space="12" w:color="auto"/>
      </w:pBdr>
      <w:ind w:left="568" w:right="284"/>
    </w:pPr>
    <w:rPr>
      <w:sz w:val="21"/>
    </w:r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DF6931"/>
    <w:pPr>
      <w:spacing w:before="240" w:after="240" w:line="240" w:lineRule="auto"/>
    </w:pPr>
    <w:rPr>
      <w:rFonts w:ascii="Avenir Medium" w:hAnsi="Avenir Medium" w:cs="Segoe UI Semibold"/>
      <w:color w:val="FFFFFF" w:themeColor="background1"/>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AE539E"/>
    <w:rPr>
      <w:rFonts w:ascii="Avenir" w:hAnsi="Avenir"/>
      <w:b w:val="0"/>
      <w:color w:val="076283"/>
      <w:sz w:val="22"/>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33FB2"/>
    <w:pPr>
      <w:numPr>
        <w:ilvl w:val="3"/>
        <w:numId w:val="6"/>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spacing w:before="120" w:line="240" w:lineRule="auto"/>
      <w:ind w:left="992" w:hanging="992"/>
    </w:pPr>
  </w:style>
  <w:style w:type="paragraph" w:styleId="BalloonText">
    <w:name w:val="Balloon Text"/>
    <w:basedOn w:val="Normal"/>
    <w:link w:val="BalloonTextChar"/>
    <w:uiPriority w:val="99"/>
    <w:semiHidden/>
    <w:unhideWhenUsed/>
    <w:rsid w:val="003450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E8"/>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371E7E"/>
    <w:rPr>
      <w:color w:val="800080" w:themeColor="followedHyperlink"/>
      <w:u w:val="single"/>
    </w:rPr>
  </w:style>
  <w:style w:type="character" w:styleId="UnresolvedMention">
    <w:name w:val="Unresolved Mention"/>
    <w:basedOn w:val="DefaultParagraphFont"/>
    <w:uiPriority w:val="99"/>
    <w:semiHidden/>
    <w:unhideWhenUsed/>
    <w:rsid w:val="006F7BA5"/>
    <w:rPr>
      <w:color w:val="605E5C"/>
      <w:shd w:val="clear" w:color="auto" w:fill="E1DFDD"/>
    </w:rPr>
  </w:style>
  <w:style w:type="character" w:styleId="CommentReference">
    <w:name w:val="annotation reference"/>
    <w:basedOn w:val="DefaultParagraphFont"/>
    <w:uiPriority w:val="99"/>
    <w:semiHidden/>
    <w:unhideWhenUsed/>
    <w:rsid w:val="005E522D"/>
    <w:rPr>
      <w:sz w:val="16"/>
      <w:szCs w:val="16"/>
    </w:rPr>
  </w:style>
  <w:style w:type="paragraph" w:styleId="CommentText">
    <w:name w:val="annotation text"/>
    <w:basedOn w:val="Normal"/>
    <w:link w:val="CommentTextChar"/>
    <w:uiPriority w:val="99"/>
    <w:semiHidden/>
    <w:unhideWhenUsed/>
    <w:rsid w:val="005E522D"/>
    <w:pPr>
      <w:spacing w:line="240" w:lineRule="auto"/>
    </w:pPr>
    <w:rPr>
      <w:sz w:val="20"/>
    </w:rPr>
  </w:style>
  <w:style w:type="character" w:customStyle="1" w:styleId="CommentTextChar">
    <w:name w:val="Comment Text Char"/>
    <w:basedOn w:val="DefaultParagraphFont"/>
    <w:link w:val="CommentText"/>
    <w:uiPriority w:val="99"/>
    <w:semiHidden/>
    <w:rsid w:val="005E522D"/>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5E522D"/>
    <w:rPr>
      <w:b/>
      <w:bCs/>
    </w:rPr>
  </w:style>
  <w:style w:type="character" w:customStyle="1" w:styleId="CommentSubjectChar">
    <w:name w:val="Comment Subject Char"/>
    <w:basedOn w:val="CommentTextChar"/>
    <w:link w:val="CommentSubject"/>
    <w:uiPriority w:val="99"/>
    <w:semiHidden/>
    <w:rsid w:val="005E522D"/>
    <w:rPr>
      <w:rFonts w:ascii="Avenir" w:hAnsi="Aveni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09796">
      <w:bodyDiv w:val="1"/>
      <w:marLeft w:val="0"/>
      <w:marRight w:val="0"/>
      <w:marTop w:val="0"/>
      <w:marBottom w:val="0"/>
      <w:divBdr>
        <w:top w:val="none" w:sz="0" w:space="0" w:color="auto"/>
        <w:left w:val="none" w:sz="0" w:space="0" w:color="auto"/>
        <w:bottom w:val="none" w:sz="0" w:space="0" w:color="auto"/>
        <w:right w:val="none" w:sz="0" w:space="0" w:color="auto"/>
      </w:divBdr>
      <w:divsChild>
        <w:div w:id="182315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medsafe.govt.nz/regulatory/fees.asp" TargetMode="External"/><Relationship Id="rId26" Type="http://schemas.openxmlformats.org/officeDocument/2006/relationships/hyperlink" Target="https://health.govt.nz/our-work/regulation-health-and-disability-system/medicinal-cannabis-agency/medicinal-cannabis-agency-information-industry/medicinal-cannabis-agency-working-medicinal-cannabis/medicinal-cannabis-agency-security-cannabis" TargetMode="External"/><Relationship Id="rId3" Type="http://schemas.openxmlformats.org/officeDocument/2006/relationships/styles" Target="styles.xml"/><Relationship Id="rId21" Type="http://schemas.openxmlformats.org/officeDocument/2006/relationships/hyperlink" Target="https://www.medsafe.govt.nz/regulatory/Guideline/code.as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mp@health.govt.nz"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www.medsafe.govt.nz/regulatory/Guideline/code.asp" TargetMode="External"/><Relationship Id="rId20" Type="http://schemas.openxmlformats.org/officeDocument/2006/relationships/hyperlink" Target="https://www.health.govt.nz/our-work/regulation-health-and-disability-system/medicinal-cannabis-agency/medicinal-cannabis-agency-information-industry/medicinal-cannabis-agency-working-medicinal-cannabis/medicinal-cannabis-agency-cannabidiol-cbd-produ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health.govt.nz/our-work/regulation-health-and-disability-system/medicinal-cannabis-agency/medicinal-cannabis-agency-information-industry/medicinal-cannabis-agency-working-medicinal-cannabis/medicinal-cannabis-agency-minimum-quality-standard" TargetMode="External"/><Relationship Id="rId23" Type="http://schemas.openxmlformats.org/officeDocument/2006/relationships/image" Target="media/image6.emf"/><Relationship Id="rId28" Type="http://schemas.openxmlformats.org/officeDocument/2006/relationships/hyperlink" Target="mailto:GMP@health.govt.nz" TargetMode="External"/><Relationship Id="rId10" Type="http://schemas.openxmlformats.org/officeDocument/2006/relationships/image" Target="media/image4.png"/><Relationship Id="rId19" Type="http://schemas.openxmlformats.org/officeDocument/2006/relationships/hyperlink" Target="mailto:medicinescontrol@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medsafe.govt.nz/regulatory/consultants.asp" TargetMode="External"/><Relationship Id="rId27" Type="http://schemas.openxmlformats.org/officeDocument/2006/relationships/hyperlink" Target="mailto:GMP@health.govt.nz"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6125-F367-478A-9F53-2B1FFC00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20</Pages>
  <Words>3537</Words>
  <Characters>21944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Guideline on the Regulation of Medicinal Cannabis in New Zealand Part 2</vt:lpstr>
    </vt:vector>
  </TitlesOfParts>
  <Company>Microsoft</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Regulation of Medicinal Cannabis in New Zealand Part 2</dc:title>
  <dc:creator>Ministry of Health</dc:creator>
  <cp:lastModifiedBy>Khay Ooi</cp:lastModifiedBy>
  <cp:revision>3</cp:revision>
  <cp:lastPrinted>2020-04-05T22:19:00Z</cp:lastPrinted>
  <dcterms:created xsi:type="dcterms:W3CDTF">2022-02-01T00:08:00Z</dcterms:created>
  <dcterms:modified xsi:type="dcterms:W3CDTF">2022-02-01T00:09:00Z</dcterms:modified>
</cp:coreProperties>
</file>