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778216DF" w:rsidR="00C86248" w:rsidRPr="00926083" w:rsidRDefault="00025EAD" w:rsidP="00926083">
      <w:pPr>
        <w:pStyle w:val="Title"/>
      </w:pPr>
      <w:r w:rsidRPr="00025EAD">
        <w:t xml:space="preserve">Health and Independence Report 2022 | </w:t>
      </w:r>
      <w:r w:rsidR="008A281C">
        <w:t xml:space="preserve">Te </w:t>
      </w:r>
      <w:r w:rsidR="002D4E90" w:rsidRPr="002D4E90">
        <w:t>Pūrongo mō te Hauora me te Tū Motuhake 2022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739C5F9F"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025EAD">
        <w:rPr>
          <w:rFonts w:cs="Segoe UI"/>
        </w:rPr>
        <w:t>202</w:t>
      </w:r>
      <w:r w:rsidR="009E206A">
        <w:rPr>
          <w:rFonts w:cs="Segoe UI"/>
        </w:rPr>
        <w:t>3</w:t>
      </w:r>
      <w:r w:rsidR="00442C1C" w:rsidRPr="00C05132">
        <w:rPr>
          <w:rFonts w:cs="Segoe UI"/>
        </w:rPr>
        <w:t xml:space="preserve">. </w:t>
      </w:r>
      <w:r w:rsidR="00025EAD" w:rsidRPr="00025EAD">
        <w:rPr>
          <w:rFonts w:cs="Segoe UI"/>
          <w:i/>
        </w:rPr>
        <w:t>Health and Independence Report 2022</w:t>
      </w:r>
      <w:r w:rsidR="00442C1C" w:rsidRPr="00C05132">
        <w:rPr>
          <w:rFonts w:cs="Segoe UI"/>
        </w:rPr>
        <w:t>. Wellington: Ministry of Health.</w:t>
      </w:r>
    </w:p>
    <w:p w14:paraId="7909192E" w14:textId="61102710" w:rsidR="00C86248" w:rsidRDefault="00C86248">
      <w:pPr>
        <w:pStyle w:val="Imprint"/>
      </w:pPr>
      <w:r>
        <w:t xml:space="preserve">Published in </w:t>
      </w:r>
      <w:r w:rsidR="009E206A">
        <w:t>July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1BC4EB0" w:rsidR="00082CD6" w:rsidRPr="009C0F2D" w:rsidRDefault="00D863D0" w:rsidP="00082CD6">
      <w:pPr>
        <w:pStyle w:val="Imprint"/>
      </w:pPr>
      <w:r w:rsidRPr="00D27BB3">
        <w:t>ISBN</w:t>
      </w:r>
      <w:r w:rsidR="00442C1C" w:rsidRPr="00D27BB3">
        <w:t xml:space="preserve"> </w:t>
      </w:r>
      <w:r w:rsidR="00C62924" w:rsidRPr="00C62924">
        <w:t>978-1-991075-37-6</w:t>
      </w:r>
      <w:r w:rsidR="009A42D5" w:rsidRPr="00D27BB3">
        <w:t xml:space="preserve"> (print)</w:t>
      </w:r>
      <w:r w:rsidR="009A42D5" w:rsidRPr="00D27BB3">
        <w:br/>
        <w:t xml:space="preserve">ISBN </w:t>
      </w:r>
      <w:r w:rsidR="0071570D" w:rsidRPr="0071570D">
        <w:t xml:space="preserve">978-1-991075-38-3 </w:t>
      </w:r>
      <w:r w:rsidRPr="00D27BB3">
        <w:t>(</w:t>
      </w:r>
      <w:r w:rsidR="00442C1C" w:rsidRPr="00D27BB3">
        <w:t>online</w:t>
      </w:r>
      <w:r w:rsidRPr="00D27BB3">
        <w:t>)</w:t>
      </w:r>
      <w:r w:rsidR="00082CD6" w:rsidRPr="00D27BB3">
        <w:br/>
        <w:t xml:space="preserve">HP </w:t>
      </w:r>
      <w:r w:rsidR="00643FBC">
        <w:t>8800</w:t>
      </w:r>
    </w:p>
    <w:p w14:paraId="48DBDA36" w14:textId="77777777" w:rsidR="00C86248" w:rsidRDefault="008C64C4" w:rsidP="00A63DFF">
      <w:r>
        <w:rPr>
          <w:noProof/>
          <w:lang w:eastAsia="en-NZ"/>
        </w:rPr>
        <w:drawing>
          <wp:inline distT="0" distB="0" distL="0" distR="0" wp14:anchorId="6EF4539D" wp14:editId="1C65C99F">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77777777" w:rsidR="00032C0A" w:rsidRDefault="008E3A07" w:rsidP="001D3E4E">
      <w:pPr>
        <w:pStyle w:val="Heading1"/>
        <w:spacing w:before="0"/>
      </w:pPr>
      <w:bookmarkStart w:id="1" w:name="_Toc405792991"/>
      <w:bookmarkStart w:id="2" w:name="_Toc405793224"/>
      <w:bookmarkStart w:id="3" w:name="_Toc139030799"/>
      <w:r>
        <w:lastRenderedPageBreak/>
        <w:t>Foreword</w:t>
      </w:r>
      <w:bookmarkEnd w:id="3"/>
    </w:p>
    <w:p w14:paraId="16396305" w14:textId="710F1667" w:rsidR="00025EAD" w:rsidRPr="00025EAD" w:rsidRDefault="00025EAD" w:rsidP="00025EAD">
      <w:pPr>
        <w:rPr>
          <w:spacing w:val="-5"/>
        </w:rPr>
      </w:pPr>
      <w:r w:rsidRPr="00025EAD">
        <w:rPr>
          <w:spacing w:val="-5"/>
        </w:rPr>
        <w:t>Tēnā koutou katoa.</w:t>
      </w:r>
    </w:p>
    <w:p w14:paraId="32987F59" w14:textId="77777777" w:rsidR="00025EAD" w:rsidRPr="00025EAD" w:rsidRDefault="00025EAD" w:rsidP="00025EAD">
      <w:pPr>
        <w:rPr>
          <w:spacing w:val="-5"/>
        </w:rPr>
      </w:pPr>
    </w:p>
    <w:p w14:paraId="476DEC35" w14:textId="77777777" w:rsidR="002D4E90" w:rsidRPr="002D4E90" w:rsidRDefault="002D4E90" w:rsidP="002D4E90">
      <w:pPr>
        <w:rPr>
          <w:spacing w:val="-5"/>
        </w:rPr>
      </w:pPr>
      <w:r w:rsidRPr="002D4E90">
        <w:rPr>
          <w:spacing w:val="-5"/>
        </w:rPr>
        <w:t xml:space="preserve">I am pleased to present the Health and Independence Report 2022. This report provides an overview of the state of public health in Aotearoa New Zealand for the 2022 calendar year. </w:t>
      </w:r>
    </w:p>
    <w:p w14:paraId="5F0B903C" w14:textId="77777777" w:rsidR="002D4E90" w:rsidRPr="002D4E90" w:rsidRDefault="002D4E90" w:rsidP="002D4E90">
      <w:pPr>
        <w:rPr>
          <w:spacing w:val="-5"/>
        </w:rPr>
      </w:pPr>
    </w:p>
    <w:p w14:paraId="59A9259D" w14:textId="77777777" w:rsidR="002D4E90" w:rsidRPr="002D4E90" w:rsidRDefault="002D4E90" w:rsidP="002D4E90">
      <w:pPr>
        <w:rPr>
          <w:spacing w:val="-5"/>
        </w:rPr>
      </w:pPr>
      <w:r w:rsidRPr="002D4E90">
        <w:rPr>
          <w:spacing w:val="-5"/>
        </w:rPr>
        <w:t xml:space="preserve">The 2022 year was a transformative one for our health system. July 2022 saw 4 new entities established. Te Whatu Ora — Health New Zealand merged 28 organisations, including 20 district health boards, into a single organisation to deliver health services nationwide. Te Aka Whai Ora — the Māori Health Authority is driving improvement in hauora Māori. A new Public Health Agency is now working within Manatū Hauora — Ministry of Health to lead and strengthen public health. Finally, Whaikaha — Ministry of Disabled People will drive transformation of the disability support system. At the heart of all this change is the vision of delivering pae ora | healthy futures for all New Zealanders. </w:t>
      </w:r>
    </w:p>
    <w:p w14:paraId="4914CD61" w14:textId="77777777" w:rsidR="002D4E90" w:rsidRPr="002D4E90" w:rsidRDefault="002D4E90" w:rsidP="002D4E90">
      <w:pPr>
        <w:rPr>
          <w:spacing w:val="-5"/>
        </w:rPr>
      </w:pPr>
      <w:r w:rsidRPr="002D4E90">
        <w:rPr>
          <w:spacing w:val="-5"/>
        </w:rPr>
        <w:t xml:space="preserve"> </w:t>
      </w:r>
    </w:p>
    <w:p w14:paraId="3E17D7CF" w14:textId="77777777" w:rsidR="002D4E90" w:rsidRPr="002D4E90" w:rsidRDefault="002D4E90" w:rsidP="002D4E90">
      <w:pPr>
        <w:rPr>
          <w:spacing w:val="-5"/>
        </w:rPr>
      </w:pPr>
      <w:r w:rsidRPr="002D4E90">
        <w:rPr>
          <w:spacing w:val="-5"/>
        </w:rPr>
        <w:t xml:space="preserve">To achieve pae ora | healthy futures, we need robust data to inform the strategic direction of the health system. The information in this report has supported the development of the Pae Ora Health Strategies aimed at achieving pae ora | healthy futures. These strategies have been developed by Manatū Hauora, in partnership with Te Aka Whai Ora and Te Whatu Ora and will define health service priorities and system improvements for the next 5–10 years. The shared vision is an Aotearoa New Zealand where all people live longer in good health and have improved quality of life, and where there is equity in outcomes between all groups. </w:t>
      </w:r>
    </w:p>
    <w:p w14:paraId="33BEE44F" w14:textId="77777777" w:rsidR="002D4E90" w:rsidRPr="002D4E90" w:rsidRDefault="002D4E90" w:rsidP="002D4E90">
      <w:pPr>
        <w:rPr>
          <w:spacing w:val="-5"/>
        </w:rPr>
      </w:pPr>
    </w:p>
    <w:p w14:paraId="3D4988CF" w14:textId="77777777" w:rsidR="002D4E90" w:rsidRPr="002D4E90" w:rsidRDefault="002D4E90" w:rsidP="002D4E90">
      <w:pPr>
        <w:rPr>
          <w:spacing w:val="-5"/>
        </w:rPr>
      </w:pPr>
      <w:r w:rsidRPr="002D4E90">
        <w:rPr>
          <w:spacing w:val="-5"/>
        </w:rPr>
        <w:t>We have a way to go to achieve this vision. While this Health and Independence Report has positive results to share, people and communities throughout Aotearoa New Zealand continue to experience differences in health and wellbeing. In particular, Māori, Pacific peoples, disabled people and those living in areas of high deprivation typically experience health disparities compared with other population groups, resulting in poorer health outcomes. Addressing these inequities is a priority.</w:t>
      </w:r>
    </w:p>
    <w:p w14:paraId="49124C6F" w14:textId="77777777" w:rsidR="002D4E90" w:rsidRPr="002D4E90" w:rsidRDefault="002D4E90" w:rsidP="002D4E90">
      <w:pPr>
        <w:rPr>
          <w:spacing w:val="-5"/>
        </w:rPr>
      </w:pPr>
    </w:p>
    <w:p w14:paraId="11919EB2" w14:textId="7DBCFD64" w:rsidR="00025EAD" w:rsidRPr="00025EAD" w:rsidRDefault="002D4E90" w:rsidP="002D4E90">
      <w:pPr>
        <w:rPr>
          <w:spacing w:val="-5"/>
        </w:rPr>
      </w:pPr>
      <w:r w:rsidRPr="002D4E90">
        <w:rPr>
          <w:spacing w:val="-5"/>
        </w:rPr>
        <w:t>I trust this report will be a valuable resource for all those working to improve the health and wellbeing of people living in Aotearoa New Zealand.</w:t>
      </w:r>
    </w:p>
    <w:p w14:paraId="1A81D641" w14:textId="77777777" w:rsidR="00025EAD" w:rsidRPr="00025EAD" w:rsidRDefault="00025EAD" w:rsidP="00025EAD">
      <w:pPr>
        <w:rPr>
          <w:spacing w:val="-5"/>
        </w:rPr>
      </w:pPr>
      <w:r w:rsidRPr="00025EAD">
        <w:rPr>
          <w:spacing w:val="-5"/>
        </w:rPr>
        <w:t xml:space="preserve"> </w:t>
      </w:r>
    </w:p>
    <w:p w14:paraId="020528F3" w14:textId="77777777" w:rsidR="00025EAD" w:rsidRPr="00025EAD" w:rsidRDefault="00025EAD" w:rsidP="00025EAD">
      <w:pPr>
        <w:rPr>
          <w:spacing w:val="-5"/>
        </w:rPr>
      </w:pPr>
      <w:r w:rsidRPr="00025EAD">
        <w:rPr>
          <w:spacing w:val="-5"/>
        </w:rPr>
        <w:t xml:space="preserve">Ngā mihi </w:t>
      </w:r>
    </w:p>
    <w:p w14:paraId="1B00A1A2" w14:textId="77777777" w:rsidR="00025EAD" w:rsidRPr="00025EAD" w:rsidRDefault="00025EAD" w:rsidP="00025EAD">
      <w:pPr>
        <w:rPr>
          <w:spacing w:val="-5"/>
        </w:rPr>
      </w:pPr>
      <w:r w:rsidRPr="00025EAD">
        <w:rPr>
          <w:spacing w:val="-5"/>
        </w:rPr>
        <w:t xml:space="preserve"> </w:t>
      </w:r>
    </w:p>
    <w:p w14:paraId="024595E8" w14:textId="77777777" w:rsidR="00025EAD" w:rsidRPr="00025EAD" w:rsidRDefault="00025EAD" w:rsidP="00025EAD">
      <w:pPr>
        <w:rPr>
          <w:spacing w:val="-5"/>
        </w:rPr>
      </w:pPr>
      <w:r w:rsidRPr="00025EAD">
        <w:rPr>
          <w:spacing w:val="-5"/>
        </w:rPr>
        <w:t xml:space="preserve">Dr Diana Sarfati </w:t>
      </w:r>
    </w:p>
    <w:p w14:paraId="5A95B5EC" w14:textId="4294856D" w:rsidR="009A42D5" w:rsidRDefault="00025EAD" w:rsidP="00025EAD">
      <w:r w:rsidRPr="00025EAD">
        <w:rPr>
          <w:spacing w:val="-5"/>
        </w:rPr>
        <w:t>Director-General of Health</w:t>
      </w:r>
    </w:p>
    <w:p w14:paraId="7EB30263" w14:textId="77777777" w:rsidR="00571223" w:rsidRDefault="00571223" w:rsidP="0046362D"/>
    <w:p w14:paraId="3CB02367" w14:textId="77777777" w:rsidR="00025EAD" w:rsidRDefault="00025EAD" w:rsidP="0046362D">
      <w:pPr>
        <w:sectPr w:rsidR="00025EAD"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7CE370C9" w14:textId="272CE0B4" w:rsidR="00025EAD" w:rsidRDefault="00025EAD" w:rsidP="00025EAD">
      <w:pPr>
        <w:pStyle w:val="Heading1"/>
        <w:spacing w:before="0"/>
      </w:pPr>
      <w:bookmarkStart w:id="4" w:name="_Toc139030800"/>
      <w:r>
        <w:lastRenderedPageBreak/>
        <w:t xml:space="preserve">He </w:t>
      </w:r>
      <w:r w:rsidR="00185E14">
        <w:t>w</w:t>
      </w:r>
      <w:r>
        <w:t xml:space="preserve">āhinga </w:t>
      </w:r>
      <w:r w:rsidR="00185E14">
        <w:t>k</w:t>
      </w:r>
      <w:r>
        <w:t>ōrero</w:t>
      </w:r>
      <w:bookmarkEnd w:id="4"/>
    </w:p>
    <w:p w14:paraId="682F545E" w14:textId="77777777" w:rsidR="00025EAD" w:rsidRDefault="00025EAD" w:rsidP="00025EAD">
      <w:r>
        <w:t>Tēnā koutou katoa.</w:t>
      </w:r>
    </w:p>
    <w:p w14:paraId="7AC47DA6" w14:textId="77777777" w:rsidR="00025EAD" w:rsidRDefault="00025EAD" w:rsidP="00025EAD"/>
    <w:p w14:paraId="72D730CD" w14:textId="0B83B694" w:rsidR="002D4E90" w:rsidRDefault="002D4E90" w:rsidP="002D4E90">
      <w:r>
        <w:t xml:space="preserve">He koanga ngākau te whakaputanga atu o </w:t>
      </w:r>
      <w:r w:rsidR="00AA60B2">
        <w:t>T</w:t>
      </w:r>
      <w:r>
        <w:t xml:space="preserve">e Pūrongo mō </w:t>
      </w:r>
      <w:r w:rsidR="0042623D">
        <w:t>t</w:t>
      </w:r>
      <w:r>
        <w:t>e Hauora me te Tū Motuhake 2022. E mau ana tēnei pūrongo i ngā kōrero whānui mō te āhua o te hauora o Aotearoa i te tau 2022.</w:t>
      </w:r>
    </w:p>
    <w:p w14:paraId="447819B0" w14:textId="77777777" w:rsidR="002D4E90" w:rsidRDefault="002D4E90" w:rsidP="002D4E90"/>
    <w:p w14:paraId="4E7E6076" w14:textId="77777777" w:rsidR="002D4E90" w:rsidRDefault="002D4E90" w:rsidP="002D4E90">
      <w:r>
        <w:t>He tau nui te tau 2022 mō tō tātou pūnaha hauora. I whakatūria e whā ngā whakahaere hou i te marama o Hōngongoi. E 28 ngā whakahaere i whakakotahihia i raro i Te Whatu Ora, arā, ka tuituia e 20 ngā poari hauora ā-rohe kia tū mai ai tētahi whakahaere kotahi e tuku atu ana i ngā ratonga hauora ki te motu whānui. Ko Te Aka Whai Ora te whare e kōkiri ana i te whakapikinga ake o te hauora Māori. Kua whakatūngia tētahi Public Health Agency kei roto tonu i te Manatū Hauora ki te ārahi, ki te whakapakari hoki i te hauora o te motu whānui. Ka mutu, ka kōkirihia te hurihanga nui o te pūnaha e tautoko ana i te hunga whaikaha e Whaikaha, arā, ko te Manatū o te Hunga Whaikaha. Ko te ngako o ēnei whakahoutanga katoa ko te wawata nui mō te whakatutukinga o pae ora, arā, ko te hauora nui o ngā tāngata katoa o Aotearoa hei ngā rā ki tua.</w:t>
      </w:r>
    </w:p>
    <w:p w14:paraId="61475B71" w14:textId="77777777" w:rsidR="002D4E90" w:rsidRDefault="002D4E90" w:rsidP="002D4E90"/>
    <w:p w14:paraId="098BF052" w14:textId="77777777" w:rsidR="002D4E90" w:rsidRDefault="002D4E90" w:rsidP="002D4E90">
      <w:r>
        <w:t>Me whai kounga ngā raraunga e ārahi ana i te ahunga whakamua o te pūnaha hauora kia tutuki pai te wawata nui o pae ora. Kua tautoko ngā kōrero i roto i tēnei pūrongo i te whakawhanaketanga o Ngā Rautaki Hauora o Pae Ora kia tutuki pai ai te wawata o pae ora. Kua whakawhanakehia ēnei rautaki e te Manatū Hauora ki te taha o Te Aka Whai Ora me Te Whatu Ora, e whakaahua ana i ngā mahi tōmua a ngā ratonga hauora me ngā āhuatanga o te pūnaha hei whakapai ake i ngā tau e 5–10 e heke mai ana. Ko te wawata nui, kia roa ake te oranga o ngā tāngata katoa, kia pai te hauora, kia piki ake te kounga o te oranga, ā, kia kitea hoki ngā putanga taurite i waenga i ngā rōpū katoa.</w:t>
      </w:r>
    </w:p>
    <w:p w14:paraId="588F2D57" w14:textId="77777777" w:rsidR="002D4E90" w:rsidRDefault="002D4E90" w:rsidP="002D4E90"/>
    <w:p w14:paraId="07CB3B40" w14:textId="77777777" w:rsidR="002D4E90" w:rsidRDefault="002D4E90" w:rsidP="002D4E90">
      <w:r>
        <w:t>He roa tonu te ara e tutuki pai ai tēnei wawata. Ahakoa ngā hua pai e mau ana ki tēnei Health and Independence Report, he rerekē tonu ngā wheako o ngā tāngata me ngā momo hapori huri noa i Aotearoa e pā ana ki te hauora me te oranga o te tangata. Inā rā, he kaha kē atu te pānga kino o ēnei rerekētanga ki te Māori, ki ngā iwi o Te Moananui-a-Kiwa, ki te hunga whaikaha me te iwi e noho ana ki ngā rohe rawakore i ētahi atu momo taupori, nā whai anō he kino kē atu ngā putanga hauora. Ko te whakatikatikatanga o ēnei hua kino tētahi o ngā mahi matua.</w:t>
      </w:r>
    </w:p>
    <w:p w14:paraId="1AACB528" w14:textId="77777777" w:rsidR="002D4E90" w:rsidRDefault="002D4E90" w:rsidP="002D4E90"/>
    <w:p w14:paraId="43C4C432" w14:textId="398F7695" w:rsidR="00025EAD" w:rsidRDefault="002D4E90" w:rsidP="002D4E90">
      <w:r>
        <w:t>Ko te tūmanako ka whaihua tēnei pūrongo hei rauemi mō te hunga e whakapau kaha ana ki te whakapiki ake i te hauora me te oranga o ngā tāngata e noho ana ki Aotearoa.</w:t>
      </w:r>
    </w:p>
    <w:p w14:paraId="4FC50FDD" w14:textId="77777777" w:rsidR="002D4E90" w:rsidRDefault="002D4E90" w:rsidP="002D4E90"/>
    <w:p w14:paraId="6EA79464" w14:textId="77777777" w:rsidR="00025EAD" w:rsidRDefault="00025EAD" w:rsidP="00025EAD">
      <w:r>
        <w:t>Ngā mihi</w:t>
      </w:r>
    </w:p>
    <w:p w14:paraId="2DF4C58D" w14:textId="77777777" w:rsidR="00025EAD" w:rsidRDefault="00025EAD" w:rsidP="00025EAD"/>
    <w:p w14:paraId="224B8A91" w14:textId="77777777" w:rsidR="00025EAD" w:rsidRDefault="00025EAD" w:rsidP="00025EAD">
      <w:r>
        <w:t xml:space="preserve">Tākuta Diana Sarfati </w:t>
      </w:r>
    </w:p>
    <w:p w14:paraId="52CCEBBD" w14:textId="77777777" w:rsidR="00025EAD" w:rsidRDefault="00025EAD" w:rsidP="00025EAD">
      <w:r>
        <w:t>Te Tumu Whakarae mō te Hauora</w:t>
      </w:r>
    </w:p>
    <w:p w14:paraId="37EC3491" w14:textId="77777777" w:rsidR="00025EAD" w:rsidRDefault="00025EAD" w:rsidP="00025EAD"/>
    <w:p w14:paraId="3089A5BA" w14:textId="77777777" w:rsidR="00025EAD" w:rsidRDefault="00025EAD" w:rsidP="00025EAD">
      <w:pPr>
        <w:sectPr w:rsidR="00025EAD" w:rsidSect="001D3E4E">
          <w:pgSz w:w="11907" w:h="16840" w:code="9"/>
          <w:pgMar w:top="1418" w:right="1701" w:bottom="1134" w:left="1843" w:header="284" w:footer="425" w:gutter="284"/>
          <w:pgNumType w:fmt="lowerRoman"/>
          <w:cols w:space="720"/>
        </w:sectPr>
      </w:pPr>
    </w:p>
    <w:p w14:paraId="72FCDF9F" w14:textId="77777777" w:rsidR="00025EAD" w:rsidRDefault="00025EAD" w:rsidP="00025EAD">
      <w:pPr>
        <w:pStyle w:val="Heading1"/>
        <w:spacing w:before="0"/>
      </w:pPr>
      <w:bookmarkStart w:id="5" w:name="_Toc139030801"/>
      <w:r>
        <w:lastRenderedPageBreak/>
        <w:t>Executive summary | He whakarāpopototanga</w:t>
      </w:r>
      <w:bookmarkEnd w:id="5"/>
    </w:p>
    <w:p w14:paraId="6A1BC893" w14:textId="77777777" w:rsidR="00025EAD" w:rsidRDefault="00025EAD" w:rsidP="00025EAD">
      <w:r>
        <w:t>This Health and Independence Report presents an overview of the state of public health in Aotearoa New Zealand for the calendar year of 2022. It brings together the most up-to-date information available, providing details about changes to the health sector of Aotearoa New Zealand and ongoing disparities in health outcomes for population groups.</w:t>
      </w:r>
    </w:p>
    <w:p w14:paraId="46EAAC4F" w14:textId="77777777" w:rsidR="00025EAD" w:rsidRDefault="00025EAD" w:rsidP="00025EAD"/>
    <w:p w14:paraId="33E124AC" w14:textId="77777777" w:rsidR="00025EAD" w:rsidRDefault="00025EAD" w:rsidP="00025EAD">
      <w:r>
        <w:t>The report includes data for a range of health measures, such as life expectancy, causes of health loss and wider determinants of health. It covers New Zealanders’ use of primary and secondary health care and concludes with a summary of the impacts of COVID-19 in 2022.</w:t>
      </w:r>
    </w:p>
    <w:p w14:paraId="0196F8B6" w14:textId="77777777" w:rsidR="00025EAD" w:rsidRDefault="00025EAD" w:rsidP="00025EAD">
      <w:pPr>
        <w:pStyle w:val="Heading3"/>
      </w:pPr>
      <w:r>
        <w:t>People of Aotearoa New Zealand</w:t>
      </w:r>
    </w:p>
    <w:p w14:paraId="17D00502" w14:textId="77777777" w:rsidR="00025EAD" w:rsidRDefault="00025EAD" w:rsidP="00025EAD">
      <w:r>
        <w:t>The first section, ‘People of Aotearoa New Zealand’, provides an overview of the health system reforms implemented in July 2022, which aim to build towards pae ora | healthy futures for all New Zealanders. To achieve this, the health system seeks to protect, promote and improve health and achieve equity in health outcomes among population groups, including by striving to eliminate health disparities, in particular for Māori.</w:t>
      </w:r>
    </w:p>
    <w:p w14:paraId="225CDB9F" w14:textId="77777777" w:rsidR="00025EAD" w:rsidRDefault="00025EAD" w:rsidP="00025EAD"/>
    <w:p w14:paraId="5F622316" w14:textId="77777777" w:rsidR="00025EAD" w:rsidRDefault="00025EAD" w:rsidP="00025EAD">
      <w:r>
        <w:t xml:space="preserve">We are developing 6 Pae Ora Health Strategies to set the medium- and long-term direction for the health system. In addition to the New Zealand Health Strategy, the other 5 Pae Ora Health Strategies have a specific focus: Hauora Māori, Pacific Health, Health of Disabled People, Women’s Health and Rural Health. </w:t>
      </w:r>
    </w:p>
    <w:p w14:paraId="52E8EDA7" w14:textId="77777777" w:rsidR="00025EAD" w:rsidRDefault="00025EAD" w:rsidP="00025EAD"/>
    <w:p w14:paraId="4CF1FBFB" w14:textId="77777777" w:rsidR="00025EAD" w:rsidRDefault="00025EAD" w:rsidP="00025EAD">
      <w:r>
        <w:t xml:space="preserve">At December 2022, the estimated resident population of Aotearoa New Zealand was 5,161,600 and is projected to increase to 5.9 million by 2043. In addition, the population demographics are changing as we are growing more ethnically diverse, and the population structure is ageing. </w:t>
      </w:r>
    </w:p>
    <w:p w14:paraId="7A5C9DA1" w14:textId="77777777" w:rsidR="00025EAD" w:rsidRDefault="00025EAD" w:rsidP="00025EAD"/>
    <w:p w14:paraId="4E181456" w14:textId="77777777" w:rsidR="00025EAD" w:rsidRDefault="00025EAD" w:rsidP="00025EAD">
      <w:r>
        <w:t xml:space="preserve">All sections of this report give details of inequitable outcomes. As summarised in the ‘Equity’ section, these include differences between population groups in life expectancy, child poverty, tobacco use and rates of psychological distress. </w:t>
      </w:r>
    </w:p>
    <w:p w14:paraId="4945D2C0" w14:textId="77777777" w:rsidR="00025EAD" w:rsidRDefault="00025EAD" w:rsidP="00025EAD">
      <w:pPr>
        <w:pStyle w:val="Heading3"/>
      </w:pPr>
      <w:r>
        <w:t>Health measures</w:t>
      </w:r>
    </w:p>
    <w:p w14:paraId="16B2DE0E" w14:textId="77777777" w:rsidR="00025EAD" w:rsidRDefault="00025EAD" w:rsidP="00025EAD">
      <w:r>
        <w:t>The ‘Health measures’ section brings together a range of information about the health of New Zealanders. Most adults (87.8%) reported their health was good, very good or excellent. Groups that were less likely to rate their health in this way included Māori adults (80.3%) and Pacific adults (81.5%). Only 59.2% of disabled adults reported having good, very good or excellent health.</w:t>
      </w:r>
    </w:p>
    <w:p w14:paraId="66FD6B71" w14:textId="77777777" w:rsidR="00025EAD" w:rsidRDefault="00025EAD" w:rsidP="00025EAD"/>
    <w:p w14:paraId="230FBC46" w14:textId="77777777" w:rsidR="00025EAD" w:rsidRDefault="00025EAD" w:rsidP="00025EAD">
      <w:r>
        <w:lastRenderedPageBreak/>
        <w:t xml:space="preserve">Over recent years, the trend has been for life expectancy to increase for both men and women. However, changes in life expectancy were relatively small in 2022, because deaths that year increased by 10.4% from 2021. Although COVID-19 contributed to this increase in the number of deaths, over the 3 years of the pandemic Aotearoa New Zealand recorded one of the lowest excess mortality rates (deaths above what would be expected in normal conditions) among countries in the Organisation for Economic Co-operation and Development (OECD). Another factor contributing to the higher number of deaths in 2022 was the high number of older people in the population (the age group where most deaths occur). Nearly 2 in every 3 deaths were among people aged 75 years and over, and 1 in every 5 deaths was among people aged 90 years and over. </w:t>
      </w:r>
    </w:p>
    <w:p w14:paraId="2DB68453" w14:textId="77777777" w:rsidR="00025EAD" w:rsidRDefault="00025EAD" w:rsidP="00025EAD"/>
    <w:p w14:paraId="4DFF3526" w14:textId="77777777" w:rsidR="00025EAD" w:rsidRDefault="00025EAD" w:rsidP="00025EAD">
      <w:r>
        <w:t xml:space="preserve">Life expectancy continues to vary between population groups. It is lower for Māori and Pacific peoples than non-Māori and non-Pacific peoples, and around 10 years lower for people living in the most socioeconomically deprived areas, compared with those in the least deprived areas. </w:t>
      </w:r>
    </w:p>
    <w:p w14:paraId="52A6DA34" w14:textId="77777777" w:rsidR="00025EAD" w:rsidRDefault="00025EAD" w:rsidP="00025EAD"/>
    <w:p w14:paraId="660DF034" w14:textId="77777777" w:rsidR="00025EAD" w:rsidRDefault="00025EAD" w:rsidP="00025EAD">
      <w:r>
        <w:t xml:space="preserve">In 2020 (the year with the most recent official mortality data available), the leading causes of death for both Māori and non-Māori were cancers and ischaemic heart disease. The total mortality rate was higher for Māori at 552 deaths per 100,000 population, compared with 318 deaths per 100,000 population for non-Māori. </w:t>
      </w:r>
    </w:p>
    <w:p w14:paraId="3FC4E9A3" w14:textId="77777777" w:rsidR="00025EAD" w:rsidRDefault="00025EAD" w:rsidP="00025EAD"/>
    <w:p w14:paraId="0043D787" w14:textId="77777777" w:rsidR="00025EAD" w:rsidRDefault="00025EAD" w:rsidP="00025EAD">
      <w:r>
        <w:t>Inequitable outcomes continue for maternal, infant and fetal deaths. Māori, Pacific peoples, Indian populations, those under 20 years old and people living in areas of high deprivation experience worse pregnancy and childbirth outcomes than the New Zealand European population. Infant death rates in the most deprived areas are close to 2 times the rate of those living in the least deprived areas. In addition, wāhine Māori, Pacific women and women in areas of greater deprivation suffer a higher burden of maternal mortality.</w:t>
      </w:r>
    </w:p>
    <w:p w14:paraId="45B00A31" w14:textId="77777777" w:rsidR="00025EAD" w:rsidRDefault="00025EAD" w:rsidP="00025EAD"/>
    <w:p w14:paraId="0D83E3D4" w14:textId="77777777" w:rsidR="00025EAD" w:rsidRDefault="00025EAD" w:rsidP="00025EAD">
      <w:r>
        <w:t>The top 10 causes of health loss, as measured by disability-adjusted life years, take into account early death, illness and disability. The 3 conditions with the highest number of disability-adjusted life years, were ischaemic heart disease, low back pain and chronic obstructive pulmonary disease. Other conditions contributing to health loss, as detailed in this report, are cardiovascular and cerebrovascular diseases (heart, stroke, blood vessel diseases), cancer, diabetes, chronic pain, oral health, mental wellbeing, and mental distress and suicide.</w:t>
      </w:r>
    </w:p>
    <w:p w14:paraId="6E830C31" w14:textId="77777777" w:rsidR="00025EAD" w:rsidRDefault="00025EAD" w:rsidP="00025EAD">
      <w:pPr>
        <w:pStyle w:val="Heading3"/>
      </w:pPr>
      <w:r>
        <w:t>Determinants of health and wellbeing</w:t>
      </w:r>
    </w:p>
    <w:p w14:paraId="3477949C" w14:textId="77777777" w:rsidR="00025EAD" w:rsidRDefault="00025EAD" w:rsidP="00025EAD">
      <w:r>
        <w:t>The ‘Determinants of health and wellbeing’ section provides information on the wider determinants that influence people’s mental and physical health. Child poverty and the housing environment can impact health outcomes. Material hardship is experienced by Māori children (18.8%), Pacific children (25.6%) and children living in a household with at least one disabled person (21.5%) at higher levels than the total population (10.3%). Living in housing that is not suitable is also related to increased health risks. Pacific peoples more often live in homes that are too cold in winter and are more likely to live in a crowded house than the total population.</w:t>
      </w:r>
    </w:p>
    <w:p w14:paraId="6A8CF238" w14:textId="77777777" w:rsidR="00025EAD" w:rsidRDefault="00025EAD" w:rsidP="00025EAD"/>
    <w:p w14:paraId="3C354E79" w14:textId="77777777" w:rsidR="00025EAD" w:rsidRDefault="00025EAD" w:rsidP="00025EAD">
      <w:r>
        <w:lastRenderedPageBreak/>
        <w:t>Health risks and protective factors are also covered in this section. For example, nearly half (49.8%) of all adults consume at least the recommended amount of fruit in the 2021/22 survey year. This varies though as fewer Asian adults (42.5%) and more Pacific adults (52.0%) eat the recommended daily amount of fruit.</w:t>
      </w:r>
    </w:p>
    <w:p w14:paraId="641042A9" w14:textId="77777777" w:rsidR="00025EAD" w:rsidRDefault="00025EAD" w:rsidP="00025EAD"/>
    <w:p w14:paraId="5EDA2AE7" w14:textId="77777777" w:rsidR="00025EAD" w:rsidRDefault="00025EAD" w:rsidP="00025EAD">
      <w:r>
        <w:t xml:space="preserve">Primary and community health care services are the health services that New Zealanders most often interact with. An estimated 94.4% of the Aotearoa New Zealand population were enrolled with a primary health organisation (at 31 December 2022). The most common barrier experienced to accessing a health service was to accessing dental care (39.7%) for all New Zealanders, this was especially the case for Māori (52.0%) and those living in the most deprived areas (49.1%). The time taken for assessment or planned treatment/surgery is increasing as the proportion of patients who waited longer than 4 months for these services has generally increased since 2020. </w:t>
      </w:r>
    </w:p>
    <w:p w14:paraId="6B52EBA0" w14:textId="77777777" w:rsidR="00025EAD" w:rsidRDefault="00025EAD" w:rsidP="00025EAD">
      <w:pPr>
        <w:pStyle w:val="Heading3"/>
      </w:pPr>
      <w:r>
        <w:t>COVID-19</w:t>
      </w:r>
    </w:p>
    <w:p w14:paraId="672639DB" w14:textId="40B1CE9A" w:rsidR="00025EAD" w:rsidRDefault="00025EAD" w:rsidP="00025EAD">
      <w:r>
        <w:t>The final ‘COVID-19’ section provides an overview of the COVID-19 pandemic in Aotearoa New Zealand. In the 2022 year, 2.1 million community cases of COVID-19 were recorded. A total of 22,909 people were hospitalised for COVID-19 throughout the year and 2,358 deaths were attributed to the disease.</w:t>
      </w:r>
      <w:r>
        <w:rPr>
          <w:rStyle w:val="FootnoteReference"/>
        </w:rPr>
        <w:footnoteReference w:id="2"/>
      </w:r>
      <w:r>
        <w:t xml:space="preserve">  The risk of COVID-19 hospitalisations and deaths was higher for Māori, Pacific peoples, disabled people, people with comorbidities and people living in highly deprived areas.</w:t>
      </w:r>
    </w:p>
    <w:p w14:paraId="4CF61C95" w14:textId="40867394" w:rsidR="00025EAD" w:rsidRDefault="00025EAD" w:rsidP="00025EAD">
      <w:pPr>
        <w:sectPr w:rsidR="00025EAD" w:rsidSect="001D3E4E">
          <w:pgSz w:w="11907" w:h="16840" w:code="9"/>
          <w:pgMar w:top="1418" w:right="1701" w:bottom="1134" w:left="1843" w:header="284" w:footer="425" w:gutter="284"/>
          <w:pgNumType w:fmt="lowerRoman"/>
          <w:cols w:space="720"/>
        </w:sectPr>
      </w:pPr>
      <w:r>
        <w:t> </w:t>
      </w:r>
    </w:p>
    <w:p w14:paraId="648D4F84" w14:textId="40C6CD68" w:rsidR="00C86248" w:rsidRDefault="00C86248" w:rsidP="009D7A76">
      <w:pPr>
        <w:pStyle w:val="IntroHead"/>
        <w:spacing w:after="320"/>
      </w:pPr>
      <w:r>
        <w:lastRenderedPageBreak/>
        <w:t>Contents</w:t>
      </w:r>
      <w:bookmarkEnd w:id="1"/>
      <w:bookmarkEnd w:id="2"/>
      <w:r w:rsidR="008C15CD">
        <w:t xml:space="preserve"> | Ngā </w:t>
      </w:r>
      <w:r w:rsidR="00ED2C86">
        <w:t>k</w:t>
      </w:r>
      <w:r w:rsidR="008C15CD">
        <w:t>ōrero</w:t>
      </w:r>
    </w:p>
    <w:p w14:paraId="64C40AB2" w14:textId="35172CDF" w:rsidR="00673087" w:rsidRDefault="0067308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39030799" w:history="1">
        <w:r w:rsidRPr="00294BAB">
          <w:rPr>
            <w:rStyle w:val="Hyperlink"/>
            <w:noProof/>
          </w:rPr>
          <w:t>Foreword</w:t>
        </w:r>
        <w:r>
          <w:rPr>
            <w:noProof/>
            <w:webHidden/>
          </w:rPr>
          <w:tab/>
        </w:r>
        <w:r>
          <w:rPr>
            <w:noProof/>
            <w:webHidden/>
          </w:rPr>
          <w:fldChar w:fldCharType="begin"/>
        </w:r>
        <w:r>
          <w:rPr>
            <w:noProof/>
            <w:webHidden/>
          </w:rPr>
          <w:instrText xml:space="preserve"> PAGEREF _Toc139030799 \h </w:instrText>
        </w:r>
        <w:r>
          <w:rPr>
            <w:noProof/>
            <w:webHidden/>
          </w:rPr>
        </w:r>
        <w:r>
          <w:rPr>
            <w:noProof/>
            <w:webHidden/>
          </w:rPr>
          <w:fldChar w:fldCharType="separate"/>
        </w:r>
        <w:r w:rsidR="00BE208D">
          <w:rPr>
            <w:noProof/>
            <w:webHidden/>
          </w:rPr>
          <w:t>iii</w:t>
        </w:r>
        <w:r>
          <w:rPr>
            <w:noProof/>
            <w:webHidden/>
          </w:rPr>
          <w:fldChar w:fldCharType="end"/>
        </w:r>
      </w:hyperlink>
    </w:p>
    <w:p w14:paraId="4FDB388A" w14:textId="7BCAED06" w:rsidR="00673087" w:rsidRDefault="00673087">
      <w:pPr>
        <w:pStyle w:val="TOC1"/>
        <w:rPr>
          <w:rFonts w:asciiTheme="minorHAnsi" w:eastAsiaTheme="minorEastAsia" w:hAnsiTheme="minorHAnsi" w:cstheme="minorBidi"/>
          <w:noProof/>
          <w:sz w:val="22"/>
          <w:szCs w:val="22"/>
          <w:lang w:eastAsia="en-NZ"/>
        </w:rPr>
      </w:pPr>
      <w:hyperlink w:anchor="_Toc139030800" w:history="1">
        <w:r w:rsidRPr="00294BAB">
          <w:rPr>
            <w:rStyle w:val="Hyperlink"/>
            <w:noProof/>
          </w:rPr>
          <w:t>He wāhinga kōrero</w:t>
        </w:r>
        <w:r>
          <w:rPr>
            <w:noProof/>
            <w:webHidden/>
          </w:rPr>
          <w:tab/>
        </w:r>
        <w:r>
          <w:rPr>
            <w:noProof/>
            <w:webHidden/>
          </w:rPr>
          <w:fldChar w:fldCharType="begin"/>
        </w:r>
        <w:r>
          <w:rPr>
            <w:noProof/>
            <w:webHidden/>
          </w:rPr>
          <w:instrText xml:space="preserve"> PAGEREF _Toc139030800 \h </w:instrText>
        </w:r>
        <w:r>
          <w:rPr>
            <w:noProof/>
            <w:webHidden/>
          </w:rPr>
        </w:r>
        <w:r>
          <w:rPr>
            <w:noProof/>
            <w:webHidden/>
          </w:rPr>
          <w:fldChar w:fldCharType="separate"/>
        </w:r>
        <w:r w:rsidR="00BE208D">
          <w:rPr>
            <w:noProof/>
            <w:webHidden/>
          </w:rPr>
          <w:t>iv</w:t>
        </w:r>
        <w:r>
          <w:rPr>
            <w:noProof/>
            <w:webHidden/>
          </w:rPr>
          <w:fldChar w:fldCharType="end"/>
        </w:r>
      </w:hyperlink>
    </w:p>
    <w:p w14:paraId="2814DE53" w14:textId="56FD9450" w:rsidR="00673087" w:rsidRDefault="00673087">
      <w:pPr>
        <w:pStyle w:val="TOC1"/>
        <w:rPr>
          <w:rFonts w:asciiTheme="minorHAnsi" w:eastAsiaTheme="minorEastAsia" w:hAnsiTheme="minorHAnsi" w:cstheme="minorBidi"/>
          <w:noProof/>
          <w:sz w:val="22"/>
          <w:szCs w:val="22"/>
          <w:lang w:eastAsia="en-NZ"/>
        </w:rPr>
      </w:pPr>
      <w:hyperlink w:anchor="_Toc139030801" w:history="1">
        <w:r w:rsidRPr="00294BAB">
          <w:rPr>
            <w:rStyle w:val="Hyperlink"/>
            <w:noProof/>
          </w:rPr>
          <w:t>Executive summary | He whakarāpopototanga</w:t>
        </w:r>
        <w:r>
          <w:rPr>
            <w:noProof/>
            <w:webHidden/>
          </w:rPr>
          <w:tab/>
        </w:r>
        <w:r>
          <w:rPr>
            <w:noProof/>
            <w:webHidden/>
          </w:rPr>
          <w:fldChar w:fldCharType="begin"/>
        </w:r>
        <w:r>
          <w:rPr>
            <w:noProof/>
            <w:webHidden/>
          </w:rPr>
          <w:instrText xml:space="preserve"> PAGEREF _Toc139030801 \h </w:instrText>
        </w:r>
        <w:r>
          <w:rPr>
            <w:noProof/>
            <w:webHidden/>
          </w:rPr>
        </w:r>
        <w:r>
          <w:rPr>
            <w:noProof/>
            <w:webHidden/>
          </w:rPr>
          <w:fldChar w:fldCharType="separate"/>
        </w:r>
        <w:r w:rsidR="00BE208D">
          <w:rPr>
            <w:noProof/>
            <w:webHidden/>
          </w:rPr>
          <w:t>v</w:t>
        </w:r>
        <w:r>
          <w:rPr>
            <w:noProof/>
            <w:webHidden/>
          </w:rPr>
          <w:fldChar w:fldCharType="end"/>
        </w:r>
      </w:hyperlink>
    </w:p>
    <w:p w14:paraId="43A1E7F9" w14:textId="11790B8D" w:rsidR="00673087" w:rsidRDefault="00673087">
      <w:pPr>
        <w:pStyle w:val="TOC1"/>
        <w:rPr>
          <w:rFonts w:asciiTheme="minorHAnsi" w:eastAsiaTheme="minorEastAsia" w:hAnsiTheme="minorHAnsi" w:cstheme="minorBidi"/>
          <w:noProof/>
          <w:sz w:val="22"/>
          <w:szCs w:val="22"/>
          <w:lang w:eastAsia="en-NZ"/>
        </w:rPr>
      </w:pPr>
      <w:hyperlink w:anchor="_Toc139030802" w:history="1">
        <w:r w:rsidRPr="00294BAB">
          <w:rPr>
            <w:rStyle w:val="Hyperlink"/>
            <w:noProof/>
          </w:rPr>
          <w:t>Introduction | He kupu whakataki</w:t>
        </w:r>
        <w:r>
          <w:rPr>
            <w:noProof/>
            <w:webHidden/>
          </w:rPr>
          <w:tab/>
        </w:r>
        <w:r>
          <w:rPr>
            <w:noProof/>
            <w:webHidden/>
          </w:rPr>
          <w:fldChar w:fldCharType="begin"/>
        </w:r>
        <w:r>
          <w:rPr>
            <w:noProof/>
            <w:webHidden/>
          </w:rPr>
          <w:instrText xml:space="preserve"> PAGEREF _Toc139030802 \h </w:instrText>
        </w:r>
        <w:r>
          <w:rPr>
            <w:noProof/>
            <w:webHidden/>
          </w:rPr>
        </w:r>
        <w:r>
          <w:rPr>
            <w:noProof/>
            <w:webHidden/>
          </w:rPr>
          <w:fldChar w:fldCharType="separate"/>
        </w:r>
        <w:r w:rsidR="00BE208D">
          <w:rPr>
            <w:noProof/>
            <w:webHidden/>
          </w:rPr>
          <w:t>1</w:t>
        </w:r>
        <w:r>
          <w:rPr>
            <w:noProof/>
            <w:webHidden/>
          </w:rPr>
          <w:fldChar w:fldCharType="end"/>
        </w:r>
      </w:hyperlink>
    </w:p>
    <w:p w14:paraId="354D22C9" w14:textId="47909A80" w:rsidR="00673087" w:rsidRDefault="00673087">
      <w:pPr>
        <w:pStyle w:val="TOC1"/>
        <w:rPr>
          <w:rFonts w:asciiTheme="minorHAnsi" w:eastAsiaTheme="minorEastAsia" w:hAnsiTheme="minorHAnsi" w:cstheme="minorBidi"/>
          <w:noProof/>
          <w:sz w:val="22"/>
          <w:szCs w:val="22"/>
          <w:lang w:eastAsia="en-NZ"/>
        </w:rPr>
      </w:pPr>
      <w:hyperlink w:anchor="_Toc139030803" w:history="1">
        <w:r w:rsidRPr="00294BAB">
          <w:rPr>
            <w:rStyle w:val="Hyperlink"/>
            <w:noProof/>
          </w:rPr>
          <w:t>People of Aotearoa New Zealand | Ngā tāngata o Aotearoa</w:t>
        </w:r>
        <w:r>
          <w:rPr>
            <w:noProof/>
            <w:webHidden/>
          </w:rPr>
          <w:tab/>
        </w:r>
        <w:r>
          <w:rPr>
            <w:noProof/>
            <w:webHidden/>
          </w:rPr>
          <w:fldChar w:fldCharType="begin"/>
        </w:r>
        <w:r>
          <w:rPr>
            <w:noProof/>
            <w:webHidden/>
          </w:rPr>
          <w:instrText xml:space="preserve"> PAGEREF _Toc139030803 \h </w:instrText>
        </w:r>
        <w:r>
          <w:rPr>
            <w:noProof/>
            <w:webHidden/>
          </w:rPr>
        </w:r>
        <w:r>
          <w:rPr>
            <w:noProof/>
            <w:webHidden/>
          </w:rPr>
          <w:fldChar w:fldCharType="separate"/>
        </w:r>
        <w:r w:rsidR="00BE208D">
          <w:rPr>
            <w:noProof/>
            <w:webHidden/>
          </w:rPr>
          <w:t>2</w:t>
        </w:r>
        <w:r>
          <w:rPr>
            <w:noProof/>
            <w:webHidden/>
          </w:rPr>
          <w:fldChar w:fldCharType="end"/>
        </w:r>
      </w:hyperlink>
    </w:p>
    <w:p w14:paraId="6B3C3F00" w14:textId="0D72C0F0" w:rsidR="00673087" w:rsidRDefault="00673087">
      <w:pPr>
        <w:pStyle w:val="TOC2"/>
        <w:rPr>
          <w:rFonts w:asciiTheme="minorHAnsi" w:eastAsiaTheme="minorEastAsia" w:hAnsiTheme="minorHAnsi" w:cstheme="minorBidi"/>
          <w:noProof/>
          <w:szCs w:val="22"/>
          <w:lang w:eastAsia="en-NZ"/>
        </w:rPr>
      </w:pPr>
      <w:hyperlink w:anchor="_Toc139030804" w:history="1">
        <w:r w:rsidRPr="00294BAB">
          <w:rPr>
            <w:rStyle w:val="Hyperlink"/>
            <w:rFonts w:eastAsia="Arial Unicode MS"/>
            <w:noProof/>
          </w:rPr>
          <w:t>Health system reform</w:t>
        </w:r>
        <w:r>
          <w:rPr>
            <w:noProof/>
            <w:webHidden/>
          </w:rPr>
          <w:tab/>
        </w:r>
        <w:r>
          <w:rPr>
            <w:noProof/>
            <w:webHidden/>
          </w:rPr>
          <w:fldChar w:fldCharType="begin"/>
        </w:r>
        <w:r>
          <w:rPr>
            <w:noProof/>
            <w:webHidden/>
          </w:rPr>
          <w:instrText xml:space="preserve"> PAGEREF _Toc139030804 \h </w:instrText>
        </w:r>
        <w:r>
          <w:rPr>
            <w:noProof/>
            <w:webHidden/>
          </w:rPr>
        </w:r>
        <w:r>
          <w:rPr>
            <w:noProof/>
            <w:webHidden/>
          </w:rPr>
          <w:fldChar w:fldCharType="separate"/>
        </w:r>
        <w:r w:rsidR="00BE208D">
          <w:rPr>
            <w:noProof/>
            <w:webHidden/>
          </w:rPr>
          <w:t>2</w:t>
        </w:r>
        <w:r>
          <w:rPr>
            <w:noProof/>
            <w:webHidden/>
          </w:rPr>
          <w:fldChar w:fldCharType="end"/>
        </w:r>
      </w:hyperlink>
    </w:p>
    <w:p w14:paraId="0149D5DF" w14:textId="3DBA787B" w:rsidR="00673087" w:rsidRDefault="00673087">
      <w:pPr>
        <w:pStyle w:val="TOC2"/>
        <w:rPr>
          <w:rFonts w:asciiTheme="minorHAnsi" w:eastAsiaTheme="minorEastAsia" w:hAnsiTheme="minorHAnsi" w:cstheme="minorBidi"/>
          <w:noProof/>
          <w:szCs w:val="22"/>
          <w:lang w:eastAsia="en-NZ"/>
        </w:rPr>
      </w:pPr>
      <w:hyperlink w:anchor="_Toc139030805" w:history="1">
        <w:r w:rsidRPr="00294BAB">
          <w:rPr>
            <w:rStyle w:val="Hyperlink"/>
            <w:rFonts w:eastAsia="Arial Unicode MS"/>
            <w:noProof/>
          </w:rPr>
          <w:t>Pae Ora Health Strategies</w:t>
        </w:r>
        <w:r>
          <w:rPr>
            <w:noProof/>
            <w:webHidden/>
          </w:rPr>
          <w:tab/>
        </w:r>
        <w:r>
          <w:rPr>
            <w:noProof/>
            <w:webHidden/>
          </w:rPr>
          <w:fldChar w:fldCharType="begin"/>
        </w:r>
        <w:r>
          <w:rPr>
            <w:noProof/>
            <w:webHidden/>
          </w:rPr>
          <w:instrText xml:space="preserve"> PAGEREF _Toc139030805 \h </w:instrText>
        </w:r>
        <w:r>
          <w:rPr>
            <w:noProof/>
            <w:webHidden/>
          </w:rPr>
        </w:r>
        <w:r>
          <w:rPr>
            <w:noProof/>
            <w:webHidden/>
          </w:rPr>
          <w:fldChar w:fldCharType="separate"/>
        </w:r>
        <w:r w:rsidR="00BE208D">
          <w:rPr>
            <w:noProof/>
            <w:webHidden/>
          </w:rPr>
          <w:t>2</w:t>
        </w:r>
        <w:r>
          <w:rPr>
            <w:noProof/>
            <w:webHidden/>
          </w:rPr>
          <w:fldChar w:fldCharType="end"/>
        </w:r>
      </w:hyperlink>
    </w:p>
    <w:p w14:paraId="089E6AA9" w14:textId="41CCE1C5" w:rsidR="00673087" w:rsidRDefault="00673087">
      <w:pPr>
        <w:pStyle w:val="TOC2"/>
        <w:rPr>
          <w:rFonts w:asciiTheme="minorHAnsi" w:eastAsiaTheme="minorEastAsia" w:hAnsiTheme="minorHAnsi" w:cstheme="minorBidi"/>
          <w:noProof/>
          <w:szCs w:val="22"/>
          <w:lang w:eastAsia="en-NZ"/>
        </w:rPr>
      </w:pPr>
      <w:hyperlink w:anchor="_Toc139030806" w:history="1">
        <w:r w:rsidRPr="00294BAB">
          <w:rPr>
            <w:rStyle w:val="Hyperlink"/>
            <w:rFonts w:eastAsia="Arial Unicode MS"/>
            <w:noProof/>
          </w:rPr>
          <w:t>Equity</w:t>
        </w:r>
        <w:r>
          <w:rPr>
            <w:noProof/>
            <w:webHidden/>
          </w:rPr>
          <w:tab/>
        </w:r>
        <w:r>
          <w:rPr>
            <w:noProof/>
            <w:webHidden/>
          </w:rPr>
          <w:fldChar w:fldCharType="begin"/>
        </w:r>
        <w:r>
          <w:rPr>
            <w:noProof/>
            <w:webHidden/>
          </w:rPr>
          <w:instrText xml:space="preserve"> PAGEREF _Toc139030806 \h </w:instrText>
        </w:r>
        <w:r>
          <w:rPr>
            <w:noProof/>
            <w:webHidden/>
          </w:rPr>
        </w:r>
        <w:r>
          <w:rPr>
            <w:noProof/>
            <w:webHidden/>
          </w:rPr>
          <w:fldChar w:fldCharType="separate"/>
        </w:r>
        <w:r w:rsidR="00BE208D">
          <w:rPr>
            <w:noProof/>
            <w:webHidden/>
          </w:rPr>
          <w:t>3</w:t>
        </w:r>
        <w:r>
          <w:rPr>
            <w:noProof/>
            <w:webHidden/>
          </w:rPr>
          <w:fldChar w:fldCharType="end"/>
        </w:r>
      </w:hyperlink>
    </w:p>
    <w:p w14:paraId="406E9409" w14:textId="0D35E33C" w:rsidR="00673087" w:rsidRDefault="00673087">
      <w:pPr>
        <w:pStyle w:val="TOC2"/>
        <w:rPr>
          <w:rFonts w:asciiTheme="minorHAnsi" w:eastAsiaTheme="minorEastAsia" w:hAnsiTheme="minorHAnsi" w:cstheme="minorBidi"/>
          <w:noProof/>
          <w:szCs w:val="22"/>
          <w:lang w:eastAsia="en-NZ"/>
        </w:rPr>
      </w:pPr>
      <w:hyperlink w:anchor="_Toc139030807" w:history="1">
        <w:r w:rsidRPr="00294BAB">
          <w:rPr>
            <w:rStyle w:val="Hyperlink"/>
            <w:rFonts w:eastAsia="Arial Unicode MS"/>
            <w:noProof/>
          </w:rPr>
          <w:t>Population estimates</w:t>
        </w:r>
        <w:r>
          <w:rPr>
            <w:noProof/>
            <w:webHidden/>
          </w:rPr>
          <w:tab/>
        </w:r>
        <w:r>
          <w:rPr>
            <w:noProof/>
            <w:webHidden/>
          </w:rPr>
          <w:fldChar w:fldCharType="begin"/>
        </w:r>
        <w:r>
          <w:rPr>
            <w:noProof/>
            <w:webHidden/>
          </w:rPr>
          <w:instrText xml:space="preserve"> PAGEREF _Toc139030807 \h </w:instrText>
        </w:r>
        <w:r>
          <w:rPr>
            <w:noProof/>
            <w:webHidden/>
          </w:rPr>
        </w:r>
        <w:r>
          <w:rPr>
            <w:noProof/>
            <w:webHidden/>
          </w:rPr>
          <w:fldChar w:fldCharType="separate"/>
        </w:r>
        <w:r w:rsidR="00BE208D">
          <w:rPr>
            <w:noProof/>
            <w:webHidden/>
          </w:rPr>
          <w:t>5</w:t>
        </w:r>
        <w:r>
          <w:rPr>
            <w:noProof/>
            <w:webHidden/>
          </w:rPr>
          <w:fldChar w:fldCharType="end"/>
        </w:r>
      </w:hyperlink>
    </w:p>
    <w:p w14:paraId="6D31FCEA" w14:textId="2FAED0E5" w:rsidR="00673087" w:rsidRDefault="00673087">
      <w:pPr>
        <w:pStyle w:val="TOC2"/>
        <w:rPr>
          <w:rFonts w:asciiTheme="minorHAnsi" w:eastAsiaTheme="minorEastAsia" w:hAnsiTheme="minorHAnsi" w:cstheme="minorBidi"/>
          <w:noProof/>
          <w:szCs w:val="22"/>
          <w:lang w:eastAsia="en-NZ"/>
        </w:rPr>
      </w:pPr>
      <w:hyperlink w:anchor="_Toc139030808" w:history="1">
        <w:r w:rsidRPr="00294BAB">
          <w:rPr>
            <w:rStyle w:val="Hyperlink"/>
            <w:rFonts w:eastAsia="Arial Unicode MS"/>
            <w:noProof/>
          </w:rPr>
          <w:t>Changing demographics</w:t>
        </w:r>
        <w:r>
          <w:rPr>
            <w:noProof/>
            <w:webHidden/>
          </w:rPr>
          <w:tab/>
        </w:r>
        <w:r>
          <w:rPr>
            <w:noProof/>
            <w:webHidden/>
          </w:rPr>
          <w:fldChar w:fldCharType="begin"/>
        </w:r>
        <w:r>
          <w:rPr>
            <w:noProof/>
            <w:webHidden/>
          </w:rPr>
          <w:instrText xml:space="preserve"> PAGEREF _Toc139030808 \h </w:instrText>
        </w:r>
        <w:r>
          <w:rPr>
            <w:noProof/>
            <w:webHidden/>
          </w:rPr>
        </w:r>
        <w:r>
          <w:rPr>
            <w:noProof/>
            <w:webHidden/>
          </w:rPr>
          <w:fldChar w:fldCharType="separate"/>
        </w:r>
        <w:r w:rsidR="00BE208D">
          <w:rPr>
            <w:noProof/>
            <w:webHidden/>
          </w:rPr>
          <w:t>6</w:t>
        </w:r>
        <w:r>
          <w:rPr>
            <w:noProof/>
            <w:webHidden/>
          </w:rPr>
          <w:fldChar w:fldCharType="end"/>
        </w:r>
      </w:hyperlink>
    </w:p>
    <w:p w14:paraId="31C084DC" w14:textId="2A6CBEB4" w:rsidR="00673087" w:rsidRDefault="00673087">
      <w:pPr>
        <w:pStyle w:val="TOC2"/>
        <w:rPr>
          <w:rFonts w:asciiTheme="minorHAnsi" w:eastAsiaTheme="minorEastAsia" w:hAnsiTheme="minorHAnsi" w:cstheme="minorBidi"/>
          <w:noProof/>
          <w:szCs w:val="22"/>
          <w:lang w:eastAsia="en-NZ"/>
        </w:rPr>
      </w:pPr>
      <w:hyperlink w:anchor="_Toc139030809" w:history="1">
        <w:r w:rsidRPr="00294BAB">
          <w:rPr>
            <w:rStyle w:val="Hyperlink"/>
            <w:rFonts w:eastAsia="Arial Unicode MS"/>
            <w:noProof/>
          </w:rPr>
          <w:t>Where New Zealanders live</w:t>
        </w:r>
        <w:r>
          <w:rPr>
            <w:noProof/>
            <w:webHidden/>
          </w:rPr>
          <w:tab/>
        </w:r>
        <w:r>
          <w:rPr>
            <w:noProof/>
            <w:webHidden/>
          </w:rPr>
          <w:fldChar w:fldCharType="begin"/>
        </w:r>
        <w:r>
          <w:rPr>
            <w:noProof/>
            <w:webHidden/>
          </w:rPr>
          <w:instrText xml:space="preserve"> PAGEREF _Toc139030809 \h </w:instrText>
        </w:r>
        <w:r>
          <w:rPr>
            <w:noProof/>
            <w:webHidden/>
          </w:rPr>
        </w:r>
        <w:r>
          <w:rPr>
            <w:noProof/>
            <w:webHidden/>
          </w:rPr>
          <w:fldChar w:fldCharType="separate"/>
        </w:r>
        <w:r w:rsidR="00BE208D">
          <w:rPr>
            <w:noProof/>
            <w:webHidden/>
          </w:rPr>
          <w:t>9</w:t>
        </w:r>
        <w:r>
          <w:rPr>
            <w:noProof/>
            <w:webHidden/>
          </w:rPr>
          <w:fldChar w:fldCharType="end"/>
        </w:r>
      </w:hyperlink>
    </w:p>
    <w:p w14:paraId="41B5BC78" w14:textId="37143152" w:rsidR="00673087" w:rsidRDefault="00673087">
      <w:pPr>
        <w:pStyle w:val="TOC2"/>
        <w:rPr>
          <w:rFonts w:asciiTheme="minorHAnsi" w:eastAsiaTheme="minorEastAsia" w:hAnsiTheme="minorHAnsi" w:cstheme="minorBidi"/>
          <w:noProof/>
          <w:szCs w:val="22"/>
          <w:lang w:eastAsia="en-NZ"/>
        </w:rPr>
      </w:pPr>
      <w:hyperlink w:anchor="_Toc139030810" w:history="1">
        <w:r w:rsidRPr="00294BAB">
          <w:rPr>
            <w:rStyle w:val="Hyperlink"/>
            <w:rFonts w:eastAsia="Arial Unicode MS"/>
            <w:noProof/>
          </w:rPr>
          <w:t>Disabled population</w:t>
        </w:r>
        <w:r>
          <w:rPr>
            <w:noProof/>
            <w:webHidden/>
          </w:rPr>
          <w:tab/>
        </w:r>
        <w:r>
          <w:rPr>
            <w:noProof/>
            <w:webHidden/>
          </w:rPr>
          <w:fldChar w:fldCharType="begin"/>
        </w:r>
        <w:r>
          <w:rPr>
            <w:noProof/>
            <w:webHidden/>
          </w:rPr>
          <w:instrText xml:space="preserve"> PAGEREF _Toc139030810 \h </w:instrText>
        </w:r>
        <w:r>
          <w:rPr>
            <w:noProof/>
            <w:webHidden/>
          </w:rPr>
        </w:r>
        <w:r>
          <w:rPr>
            <w:noProof/>
            <w:webHidden/>
          </w:rPr>
          <w:fldChar w:fldCharType="separate"/>
        </w:r>
        <w:r w:rsidR="00BE208D">
          <w:rPr>
            <w:noProof/>
            <w:webHidden/>
          </w:rPr>
          <w:t>11</w:t>
        </w:r>
        <w:r>
          <w:rPr>
            <w:noProof/>
            <w:webHidden/>
          </w:rPr>
          <w:fldChar w:fldCharType="end"/>
        </w:r>
      </w:hyperlink>
    </w:p>
    <w:p w14:paraId="740C2B8C" w14:textId="61C88175" w:rsidR="00673087" w:rsidRDefault="00673087">
      <w:pPr>
        <w:pStyle w:val="TOC1"/>
        <w:rPr>
          <w:rFonts w:asciiTheme="minorHAnsi" w:eastAsiaTheme="minorEastAsia" w:hAnsiTheme="minorHAnsi" w:cstheme="minorBidi"/>
          <w:noProof/>
          <w:sz w:val="22"/>
          <w:szCs w:val="22"/>
          <w:lang w:eastAsia="en-NZ"/>
        </w:rPr>
      </w:pPr>
      <w:hyperlink w:anchor="_Toc139030811" w:history="1">
        <w:r w:rsidRPr="00294BAB">
          <w:rPr>
            <w:rStyle w:val="Hyperlink"/>
            <w:rFonts w:eastAsia="Arial Unicode MS"/>
            <w:noProof/>
          </w:rPr>
          <w:t>Health measures | Ngā inenga hauora</w:t>
        </w:r>
        <w:r>
          <w:rPr>
            <w:noProof/>
            <w:webHidden/>
          </w:rPr>
          <w:tab/>
        </w:r>
        <w:r>
          <w:rPr>
            <w:noProof/>
            <w:webHidden/>
          </w:rPr>
          <w:fldChar w:fldCharType="begin"/>
        </w:r>
        <w:r>
          <w:rPr>
            <w:noProof/>
            <w:webHidden/>
          </w:rPr>
          <w:instrText xml:space="preserve"> PAGEREF _Toc139030811 \h </w:instrText>
        </w:r>
        <w:r>
          <w:rPr>
            <w:noProof/>
            <w:webHidden/>
          </w:rPr>
        </w:r>
        <w:r>
          <w:rPr>
            <w:noProof/>
            <w:webHidden/>
          </w:rPr>
          <w:fldChar w:fldCharType="separate"/>
        </w:r>
        <w:r w:rsidR="00BE208D">
          <w:rPr>
            <w:noProof/>
            <w:webHidden/>
          </w:rPr>
          <w:t>13</w:t>
        </w:r>
        <w:r>
          <w:rPr>
            <w:noProof/>
            <w:webHidden/>
          </w:rPr>
          <w:fldChar w:fldCharType="end"/>
        </w:r>
      </w:hyperlink>
    </w:p>
    <w:p w14:paraId="11EF7F8A" w14:textId="0442E5AE" w:rsidR="00673087" w:rsidRDefault="00673087">
      <w:pPr>
        <w:pStyle w:val="TOC2"/>
        <w:rPr>
          <w:rFonts w:asciiTheme="minorHAnsi" w:eastAsiaTheme="minorEastAsia" w:hAnsiTheme="minorHAnsi" w:cstheme="minorBidi"/>
          <w:noProof/>
          <w:szCs w:val="22"/>
          <w:lang w:eastAsia="en-NZ"/>
        </w:rPr>
      </w:pPr>
      <w:hyperlink w:anchor="_Toc139030812" w:history="1">
        <w:r w:rsidRPr="00294BAB">
          <w:rPr>
            <w:rStyle w:val="Hyperlink"/>
            <w:rFonts w:eastAsia="Arial Unicode MS"/>
            <w:noProof/>
          </w:rPr>
          <w:t>Population health measures</w:t>
        </w:r>
        <w:r>
          <w:rPr>
            <w:noProof/>
            <w:webHidden/>
          </w:rPr>
          <w:tab/>
        </w:r>
        <w:r>
          <w:rPr>
            <w:noProof/>
            <w:webHidden/>
          </w:rPr>
          <w:fldChar w:fldCharType="begin"/>
        </w:r>
        <w:r>
          <w:rPr>
            <w:noProof/>
            <w:webHidden/>
          </w:rPr>
          <w:instrText xml:space="preserve"> PAGEREF _Toc139030812 \h </w:instrText>
        </w:r>
        <w:r>
          <w:rPr>
            <w:noProof/>
            <w:webHidden/>
          </w:rPr>
        </w:r>
        <w:r>
          <w:rPr>
            <w:noProof/>
            <w:webHidden/>
          </w:rPr>
          <w:fldChar w:fldCharType="separate"/>
        </w:r>
        <w:r w:rsidR="00BE208D">
          <w:rPr>
            <w:noProof/>
            <w:webHidden/>
          </w:rPr>
          <w:t>13</w:t>
        </w:r>
        <w:r>
          <w:rPr>
            <w:noProof/>
            <w:webHidden/>
          </w:rPr>
          <w:fldChar w:fldCharType="end"/>
        </w:r>
      </w:hyperlink>
    </w:p>
    <w:p w14:paraId="2BFC9758" w14:textId="4F57B6B2" w:rsidR="00673087" w:rsidRDefault="00673087">
      <w:pPr>
        <w:pStyle w:val="TOC2"/>
        <w:rPr>
          <w:rFonts w:asciiTheme="minorHAnsi" w:eastAsiaTheme="minorEastAsia" w:hAnsiTheme="minorHAnsi" w:cstheme="minorBidi"/>
          <w:noProof/>
          <w:szCs w:val="22"/>
          <w:lang w:eastAsia="en-NZ"/>
        </w:rPr>
      </w:pPr>
      <w:hyperlink w:anchor="_Toc139030813" w:history="1">
        <w:r w:rsidRPr="00294BAB">
          <w:rPr>
            <w:rStyle w:val="Hyperlink"/>
            <w:noProof/>
          </w:rPr>
          <w:t>Causes of health loss</w:t>
        </w:r>
        <w:r>
          <w:rPr>
            <w:noProof/>
            <w:webHidden/>
          </w:rPr>
          <w:tab/>
        </w:r>
        <w:r>
          <w:rPr>
            <w:noProof/>
            <w:webHidden/>
          </w:rPr>
          <w:fldChar w:fldCharType="begin"/>
        </w:r>
        <w:r>
          <w:rPr>
            <w:noProof/>
            <w:webHidden/>
          </w:rPr>
          <w:instrText xml:space="preserve"> PAGEREF _Toc139030813 \h </w:instrText>
        </w:r>
        <w:r>
          <w:rPr>
            <w:noProof/>
            <w:webHidden/>
          </w:rPr>
        </w:r>
        <w:r>
          <w:rPr>
            <w:noProof/>
            <w:webHidden/>
          </w:rPr>
          <w:fldChar w:fldCharType="separate"/>
        </w:r>
        <w:r w:rsidR="00BE208D">
          <w:rPr>
            <w:noProof/>
            <w:webHidden/>
          </w:rPr>
          <w:t>19</w:t>
        </w:r>
        <w:r>
          <w:rPr>
            <w:noProof/>
            <w:webHidden/>
          </w:rPr>
          <w:fldChar w:fldCharType="end"/>
        </w:r>
      </w:hyperlink>
    </w:p>
    <w:p w14:paraId="1446C604" w14:textId="2FB82239" w:rsidR="00673087" w:rsidRDefault="00673087">
      <w:pPr>
        <w:pStyle w:val="TOC1"/>
        <w:rPr>
          <w:rFonts w:asciiTheme="minorHAnsi" w:eastAsiaTheme="minorEastAsia" w:hAnsiTheme="minorHAnsi" w:cstheme="minorBidi"/>
          <w:noProof/>
          <w:sz w:val="22"/>
          <w:szCs w:val="22"/>
          <w:lang w:eastAsia="en-NZ"/>
        </w:rPr>
      </w:pPr>
      <w:hyperlink w:anchor="_Toc139030814" w:history="1">
        <w:r w:rsidRPr="00294BAB">
          <w:rPr>
            <w:rStyle w:val="Hyperlink"/>
            <w:noProof/>
          </w:rPr>
          <w:t>Determinants of health and wellbeing | Ngā tūtohu o te hauora me te oranga o te tangata</w:t>
        </w:r>
        <w:r>
          <w:rPr>
            <w:noProof/>
            <w:webHidden/>
          </w:rPr>
          <w:tab/>
        </w:r>
        <w:r>
          <w:rPr>
            <w:noProof/>
            <w:webHidden/>
          </w:rPr>
          <w:fldChar w:fldCharType="begin"/>
        </w:r>
        <w:r>
          <w:rPr>
            <w:noProof/>
            <w:webHidden/>
          </w:rPr>
          <w:instrText xml:space="preserve"> PAGEREF _Toc139030814 \h </w:instrText>
        </w:r>
        <w:r>
          <w:rPr>
            <w:noProof/>
            <w:webHidden/>
          </w:rPr>
        </w:r>
        <w:r>
          <w:rPr>
            <w:noProof/>
            <w:webHidden/>
          </w:rPr>
          <w:fldChar w:fldCharType="separate"/>
        </w:r>
        <w:r w:rsidR="00BE208D">
          <w:rPr>
            <w:noProof/>
            <w:webHidden/>
          </w:rPr>
          <w:t>35</w:t>
        </w:r>
        <w:r>
          <w:rPr>
            <w:noProof/>
            <w:webHidden/>
          </w:rPr>
          <w:fldChar w:fldCharType="end"/>
        </w:r>
      </w:hyperlink>
    </w:p>
    <w:p w14:paraId="7A274005" w14:textId="6440DFFB" w:rsidR="00673087" w:rsidRDefault="00673087">
      <w:pPr>
        <w:pStyle w:val="TOC2"/>
        <w:rPr>
          <w:rFonts w:asciiTheme="minorHAnsi" w:eastAsiaTheme="minorEastAsia" w:hAnsiTheme="minorHAnsi" w:cstheme="minorBidi"/>
          <w:noProof/>
          <w:szCs w:val="22"/>
          <w:lang w:eastAsia="en-NZ"/>
        </w:rPr>
      </w:pPr>
      <w:hyperlink w:anchor="_Toc139030815" w:history="1">
        <w:r w:rsidRPr="00294BAB">
          <w:rPr>
            <w:rStyle w:val="Hyperlink"/>
            <w:noProof/>
          </w:rPr>
          <w:t>Child poverty</w:t>
        </w:r>
        <w:r>
          <w:rPr>
            <w:noProof/>
            <w:webHidden/>
          </w:rPr>
          <w:tab/>
        </w:r>
        <w:r>
          <w:rPr>
            <w:noProof/>
            <w:webHidden/>
          </w:rPr>
          <w:fldChar w:fldCharType="begin"/>
        </w:r>
        <w:r>
          <w:rPr>
            <w:noProof/>
            <w:webHidden/>
          </w:rPr>
          <w:instrText xml:space="preserve"> PAGEREF _Toc139030815 \h </w:instrText>
        </w:r>
        <w:r>
          <w:rPr>
            <w:noProof/>
            <w:webHidden/>
          </w:rPr>
        </w:r>
        <w:r>
          <w:rPr>
            <w:noProof/>
            <w:webHidden/>
          </w:rPr>
          <w:fldChar w:fldCharType="separate"/>
        </w:r>
        <w:r w:rsidR="00BE208D">
          <w:rPr>
            <w:noProof/>
            <w:webHidden/>
          </w:rPr>
          <w:t>36</w:t>
        </w:r>
        <w:r>
          <w:rPr>
            <w:noProof/>
            <w:webHidden/>
          </w:rPr>
          <w:fldChar w:fldCharType="end"/>
        </w:r>
      </w:hyperlink>
    </w:p>
    <w:p w14:paraId="4ED00557" w14:textId="778ABF3E" w:rsidR="00673087" w:rsidRDefault="00673087">
      <w:pPr>
        <w:pStyle w:val="TOC2"/>
        <w:rPr>
          <w:rFonts w:asciiTheme="minorHAnsi" w:eastAsiaTheme="minorEastAsia" w:hAnsiTheme="minorHAnsi" w:cstheme="minorBidi"/>
          <w:noProof/>
          <w:szCs w:val="22"/>
          <w:lang w:eastAsia="en-NZ"/>
        </w:rPr>
      </w:pPr>
      <w:hyperlink w:anchor="_Toc139030816" w:history="1">
        <w:r w:rsidRPr="00294BAB">
          <w:rPr>
            <w:rStyle w:val="Hyperlink"/>
            <w:noProof/>
          </w:rPr>
          <w:t>Household food insecurity</w:t>
        </w:r>
        <w:r>
          <w:rPr>
            <w:noProof/>
            <w:webHidden/>
          </w:rPr>
          <w:tab/>
        </w:r>
        <w:r>
          <w:rPr>
            <w:noProof/>
            <w:webHidden/>
          </w:rPr>
          <w:fldChar w:fldCharType="begin"/>
        </w:r>
        <w:r>
          <w:rPr>
            <w:noProof/>
            <w:webHidden/>
          </w:rPr>
          <w:instrText xml:space="preserve"> PAGEREF _Toc139030816 \h </w:instrText>
        </w:r>
        <w:r>
          <w:rPr>
            <w:noProof/>
            <w:webHidden/>
          </w:rPr>
        </w:r>
        <w:r>
          <w:rPr>
            <w:noProof/>
            <w:webHidden/>
          </w:rPr>
          <w:fldChar w:fldCharType="separate"/>
        </w:r>
        <w:r w:rsidR="00BE208D">
          <w:rPr>
            <w:noProof/>
            <w:webHidden/>
          </w:rPr>
          <w:t>36</w:t>
        </w:r>
        <w:r>
          <w:rPr>
            <w:noProof/>
            <w:webHidden/>
          </w:rPr>
          <w:fldChar w:fldCharType="end"/>
        </w:r>
      </w:hyperlink>
    </w:p>
    <w:p w14:paraId="1D69A875" w14:textId="0E38FE6C" w:rsidR="00673087" w:rsidRDefault="00673087">
      <w:pPr>
        <w:pStyle w:val="TOC2"/>
        <w:rPr>
          <w:rFonts w:asciiTheme="minorHAnsi" w:eastAsiaTheme="minorEastAsia" w:hAnsiTheme="minorHAnsi" w:cstheme="minorBidi"/>
          <w:noProof/>
          <w:szCs w:val="22"/>
          <w:lang w:eastAsia="en-NZ"/>
        </w:rPr>
      </w:pPr>
      <w:hyperlink w:anchor="_Toc139030817" w:history="1">
        <w:r w:rsidRPr="00294BAB">
          <w:rPr>
            <w:rStyle w:val="Hyperlink"/>
            <w:noProof/>
          </w:rPr>
          <w:t>Housing</w:t>
        </w:r>
        <w:r>
          <w:rPr>
            <w:noProof/>
            <w:webHidden/>
          </w:rPr>
          <w:tab/>
        </w:r>
        <w:r>
          <w:rPr>
            <w:noProof/>
            <w:webHidden/>
          </w:rPr>
          <w:fldChar w:fldCharType="begin"/>
        </w:r>
        <w:r>
          <w:rPr>
            <w:noProof/>
            <w:webHidden/>
          </w:rPr>
          <w:instrText xml:space="preserve"> PAGEREF _Toc139030817 \h </w:instrText>
        </w:r>
        <w:r>
          <w:rPr>
            <w:noProof/>
            <w:webHidden/>
          </w:rPr>
        </w:r>
        <w:r>
          <w:rPr>
            <w:noProof/>
            <w:webHidden/>
          </w:rPr>
          <w:fldChar w:fldCharType="separate"/>
        </w:r>
        <w:r w:rsidR="00BE208D">
          <w:rPr>
            <w:noProof/>
            <w:webHidden/>
          </w:rPr>
          <w:t>37</w:t>
        </w:r>
        <w:r>
          <w:rPr>
            <w:noProof/>
            <w:webHidden/>
          </w:rPr>
          <w:fldChar w:fldCharType="end"/>
        </w:r>
      </w:hyperlink>
    </w:p>
    <w:p w14:paraId="79705FC6" w14:textId="001E2CC8" w:rsidR="00673087" w:rsidRDefault="00673087">
      <w:pPr>
        <w:pStyle w:val="TOC2"/>
        <w:rPr>
          <w:rFonts w:asciiTheme="minorHAnsi" w:eastAsiaTheme="minorEastAsia" w:hAnsiTheme="minorHAnsi" w:cstheme="minorBidi"/>
          <w:noProof/>
          <w:szCs w:val="22"/>
          <w:lang w:eastAsia="en-NZ"/>
        </w:rPr>
      </w:pPr>
      <w:hyperlink w:anchor="_Toc139030818" w:history="1">
        <w:r w:rsidRPr="00294BAB">
          <w:rPr>
            <w:rStyle w:val="Hyperlink"/>
            <w:noProof/>
          </w:rPr>
          <w:t>Employment and income</w:t>
        </w:r>
        <w:r>
          <w:rPr>
            <w:noProof/>
            <w:webHidden/>
          </w:rPr>
          <w:tab/>
        </w:r>
        <w:r>
          <w:rPr>
            <w:noProof/>
            <w:webHidden/>
          </w:rPr>
          <w:fldChar w:fldCharType="begin"/>
        </w:r>
        <w:r>
          <w:rPr>
            <w:noProof/>
            <w:webHidden/>
          </w:rPr>
          <w:instrText xml:space="preserve"> PAGEREF _Toc139030818 \h </w:instrText>
        </w:r>
        <w:r>
          <w:rPr>
            <w:noProof/>
            <w:webHidden/>
          </w:rPr>
        </w:r>
        <w:r>
          <w:rPr>
            <w:noProof/>
            <w:webHidden/>
          </w:rPr>
          <w:fldChar w:fldCharType="separate"/>
        </w:r>
        <w:r w:rsidR="00BE208D">
          <w:rPr>
            <w:noProof/>
            <w:webHidden/>
          </w:rPr>
          <w:t>38</w:t>
        </w:r>
        <w:r>
          <w:rPr>
            <w:noProof/>
            <w:webHidden/>
          </w:rPr>
          <w:fldChar w:fldCharType="end"/>
        </w:r>
      </w:hyperlink>
    </w:p>
    <w:p w14:paraId="671735E0" w14:textId="026944F8" w:rsidR="00673087" w:rsidRDefault="00673087">
      <w:pPr>
        <w:pStyle w:val="TOC2"/>
        <w:rPr>
          <w:rFonts w:asciiTheme="minorHAnsi" w:eastAsiaTheme="minorEastAsia" w:hAnsiTheme="minorHAnsi" w:cstheme="minorBidi"/>
          <w:noProof/>
          <w:szCs w:val="22"/>
          <w:lang w:eastAsia="en-NZ"/>
        </w:rPr>
      </w:pPr>
      <w:hyperlink w:anchor="_Toc139030819" w:history="1">
        <w:r w:rsidRPr="00294BAB">
          <w:rPr>
            <w:rStyle w:val="Hyperlink"/>
            <w:rFonts w:cs="Segoe UI"/>
            <w:noProof/>
          </w:rPr>
          <w:t>Health risks and protective factors</w:t>
        </w:r>
        <w:r>
          <w:rPr>
            <w:noProof/>
            <w:webHidden/>
          </w:rPr>
          <w:tab/>
        </w:r>
        <w:r>
          <w:rPr>
            <w:noProof/>
            <w:webHidden/>
          </w:rPr>
          <w:fldChar w:fldCharType="begin"/>
        </w:r>
        <w:r>
          <w:rPr>
            <w:noProof/>
            <w:webHidden/>
          </w:rPr>
          <w:instrText xml:space="preserve"> PAGEREF _Toc139030819 \h </w:instrText>
        </w:r>
        <w:r>
          <w:rPr>
            <w:noProof/>
            <w:webHidden/>
          </w:rPr>
        </w:r>
        <w:r>
          <w:rPr>
            <w:noProof/>
            <w:webHidden/>
          </w:rPr>
          <w:fldChar w:fldCharType="separate"/>
        </w:r>
        <w:r w:rsidR="00BE208D">
          <w:rPr>
            <w:noProof/>
            <w:webHidden/>
          </w:rPr>
          <w:t>39</w:t>
        </w:r>
        <w:r>
          <w:rPr>
            <w:noProof/>
            <w:webHidden/>
          </w:rPr>
          <w:fldChar w:fldCharType="end"/>
        </w:r>
      </w:hyperlink>
    </w:p>
    <w:p w14:paraId="007AB177" w14:textId="381C9FEB" w:rsidR="00673087" w:rsidRDefault="00673087">
      <w:pPr>
        <w:pStyle w:val="TOC2"/>
        <w:rPr>
          <w:rFonts w:asciiTheme="minorHAnsi" w:eastAsiaTheme="minorEastAsia" w:hAnsiTheme="minorHAnsi" w:cstheme="minorBidi"/>
          <w:noProof/>
          <w:szCs w:val="22"/>
          <w:lang w:eastAsia="en-NZ"/>
        </w:rPr>
      </w:pPr>
      <w:hyperlink w:anchor="_Toc139030820" w:history="1">
        <w:r w:rsidRPr="00294BAB">
          <w:rPr>
            <w:rStyle w:val="Hyperlink"/>
            <w:rFonts w:cs="Segoe UI"/>
            <w:noProof/>
          </w:rPr>
          <w:t>Health service use and health care</w:t>
        </w:r>
        <w:r>
          <w:rPr>
            <w:noProof/>
            <w:webHidden/>
          </w:rPr>
          <w:tab/>
        </w:r>
        <w:r>
          <w:rPr>
            <w:noProof/>
            <w:webHidden/>
          </w:rPr>
          <w:fldChar w:fldCharType="begin"/>
        </w:r>
        <w:r>
          <w:rPr>
            <w:noProof/>
            <w:webHidden/>
          </w:rPr>
          <w:instrText xml:space="preserve"> PAGEREF _Toc139030820 \h </w:instrText>
        </w:r>
        <w:r>
          <w:rPr>
            <w:noProof/>
            <w:webHidden/>
          </w:rPr>
        </w:r>
        <w:r>
          <w:rPr>
            <w:noProof/>
            <w:webHidden/>
          </w:rPr>
          <w:fldChar w:fldCharType="separate"/>
        </w:r>
        <w:r w:rsidR="00BE208D">
          <w:rPr>
            <w:noProof/>
            <w:webHidden/>
          </w:rPr>
          <w:t>44</w:t>
        </w:r>
        <w:r>
          <w:rPr>
            <w:noProof/>
            <w:webHidden/>
          </w:rPr>
          <w:fldChar w:fldCharType="end"/>
        </w:r>
      </w:hyperlink>
    </w:p>
    <w:p w14:paraId="7DF6C299" w14:textId="6B1B9942" w:rsidR="00673087" w:rsidRDefault="00673087">
      <w:pPr>
        <w:pStyle w:val="TOC1"/>
        <w:rPr>
          <w:rFonts w:asciiTheme="minorHAnsi" w:eastAsiaTheme="minorEastAsia" w:hAnsiTheme="minorHAnsi" w:cstheme="minorBidi"/>
          <w:noProof/>
          <w:sz w:val="22"/>
          <w:szCs w:val="22"/>
          <w:lang w:eastAsia="en-NZ"/>
        </w:rPr>
      </w:pPr>
      <w:hyperlink w:anchor="_Toc139030821" w:history="1">
        <w:r w:rsidRPr="00294BAB">
          <w:rPr>
            <w:rStyle w:val="Hyperlink"/>
            <w:noProof/>
          </w:rPr>
          <w:t>COVID-19 | KOWHEORI-19</w:t>
        </w:r>
        <w:r>
          <w:rPr>
            <w:noProof/>
            <w:webHidden/>
          </w:rPr>
          <w:tab/>
        </w:r>
        <w:r>
          <w:rPr>
            <w:noProof/>
            <w:webHidden/>
          </w:rPr>
          <w:fldChar w:fldCharType="begin"/>
        </w:r>
        <w:r>
          <w:rPr>
            <w:noProof/>
            <w:webHidden/>
          </w:rPr>
          <w:instrText xml:space="preserve"> PAGEREF _Toc139030821 \h </w:instrText>
        </w:r>
        <w:r>
          <w:rPr>
            <w:noProof/>
            <w:webHidden/>
          </w:rPr>
        </w:r>
        <w:r>
          <w:rPr>
            <w:noProof/>
            <w:webHidden/>
          </w:rPr>
          <w:fldChar w:fldCharType="separate"/>
        </w:r>
        <w:r w:rsidR="00BE208D">
          <w:rPr>
            <w:noProof/>
            <w:webHidden/>
          </w:rPr>
          <w:t>61</w:t>
        </w:r>
        <w:r>
          <w:rPr>
            <w:noProof/>
            <w:webHidden/>
          </w:rPr>
          <w:fldChar w:fldCharType="end"/>
        </w:r>
      </w:hyperlink>
    </w:p>
    <w:p w14:paraId="7E945367" w14:textId="750E0BC9" w:rsidR="00673087" w:rsidRDefault="00673087">
      <w:pPr>
        <w:pStyle w:val="TOC2"/>
        <w:rPr>
          <w:rFonts w:asciiTheme="minorHAnsi" w:eastAsiaTheme="minorEastAsia" w:hAnsiTheme="minorHAnsi" w:cstheme="minorBidi"/>
          <w:noProof/>
          <w:szCs w:val="22"/>
          <w:lang w:eastAsia="en-NZ"/>
        </w:rPr>
      </w:pPr>
      <w:hyperlink w:anchor="_Toc139030822" w:history="1">
        <w:r w:rsidRPr="00294BAB">
          <w:rPr>
            <w:rStyle w:val="Hyperlink"/>
            <w:noProof/>
          </w:rPr>
          <w:t>Overview of 2022</w:t>
        </w:r>
        <w:r>
          <w:rPr>
            <w:noProof/>
            <w:webHidden/>
          </w:rPr>
          <w:tab/>
        </w:r>
        <w:r>
          <w:rPr>
            <w:noProof/>
            <w:webHidden/>
          </w:rPr>
          <w:fldChar w:fldCharType="begin"/>
        </w:r>
        <w:r>
          <w:rPr>
            <w:noProof/>
            <w:webHidden/>
          </w:rPr>
          <w:instrText xml:space="preserve"> PAGEREF _Toc139030822 \h </w:instrText>
        </w:r>
        <w:r>
          <w:rPr>
            <w:noProof/>
            <w:webHidden/>
          </w:rPr>
        </w:r>
        <w:r>
          <w:rPr>
            <w:noProof/>
            <w:webHidden/>
          </w:rPr>
          <w:fldChar w:fldCharType="separate"/>
        </w:r>
        <w:r w:rsidR="00BE208D">
          <w:rPr>
            <w:noProof/>
            <w:webHidden/>
          </w:rPr>
          <w:t>61</w:t>
        </w:r>
        <w:r>
          <w:rPr>
            <w:noProof/>
            <w:webHidden/>
          </w:rPr>
          <w:fldChar w:fldCharType="end"/>
        </w:r>
      </w:hyperlink>
    </w:p>
    <w:p w14:paraId="1B508A7C" w14:textId="5BA4A0B2" w:rsidR="00673087" w:rsidRDefault="00673087">
      <w:pPr>
        <w:pStyle w:val="TOC2"/>
        <w:rPr>
          <w:rFonts w:asciiTheme="minorHAnsi" w:eastAsiaTheme="minorEastAsia" w:hAnsiTheme="minorHAnsi" w:cstheme="minorBidi"/>
          <w:noProof/>
          <w:szCs w:val="22"/>
          <w:lang w:eastAsia="en-NZ"/>
        </w:rPr>
      </w:pPr>
      <w:hyperlink w:anchor="_Toc139030823" w:history="1">
        <w:r w:rsidRPr="00294BAB">
          <w:rPr>
            <w:rStyle w:val="Hyperlink"/>
            <w:rFonts w:cs="Segoe UI"/>
            <w:noProof/>
          </w:rPr>
          <w:t>COVID-19 cases</w:t>
        </w:r>
        <w:r>
          <w:rPr>
            <w:noProof/>
            <w:webHidden/>
          </w:rPr>
          <w:tab/>
        </w:r>
        <w:r>
          <w:rPr>
            <w:noProof/>
            <w:webHidden/>
          </w:rPr>
          <w:fldChar w:fldCharType="begin"/>
        </w:r>
        <w:r>
          <w:rPr>
            <w:noProof/>
            <w:webHidden/>
          </w:rPr>
          <w:instrText xml:space="preserve"> PAGEREF _Toc139030823 \h </w:instrText>
        </w:r>
        <w:r>
          <w:rPr>
            <w:noProof/>
            <w:webHidden/>
          </w:rPr>
        </w:r>
        <w:r>
          <w:rPr>
            <w:noProof/>
            <w:webHidden/>
          </w:rPr>
          <w:fldChar w:fldCharType="separate"/>
        </w:r>
        <w:r w:rsidR="00BE208D">
          <w:rPr>
            <w:noProof/>
            <w:webHidden/>
          </w:rPr>
          <w:t>63</w:t>
        </w:r>
        <w:r>
          <w:rPr>
            <w:noProof/>
            <w:webHidden/>
          </w:rPr>
          <w:fldChar w:fldCharType="end"/>
        </w:r>
      </w:hyperlink>
    </w:p>
    <w:p w14:paraId="7BDD7875" w14:textId="38286D5A" w:rsidR="00673087" w:rsidRDefault="00673087">
      <w:pPr>
        <w:pStyle w:val="TOC2"/>
        <w:rPr>
          <w:rFonts w:asciiTheme="minorHAnsi" w:eastAsiaTheme="minorEastAsia" w:hAnsiTheme="minorHAnsi" w:cstheme="minorBidi"/>
          <w:noProof/>
          <w:szCs w:val="22"/>
          <w:lang w:eastAsia="en-NZ"/>
        </w:rPr>
      </w:pPr>
      <w:hyperlink w:anchor="_Toc139030824" w:history="1">
        <w:r w:rsidRPr="00294BAB">
          <w:rPr>
            <w:rStyle w:val="Hyperlink"/>
            <w:rFonts w:cs="Segoe UI"/>
            <w:noProof/>
          </w:rPr>
          <w:t>COVID-19 reinfections</w:t>
        </w:r>
        <w:r>
          <w:rPr>
            <w:noProof/>
            <w:webHidden/>
          </w:rPr>
          <w:tab/>
        </w:r>
        <w:r>
          <w:rPr>
            <w:noProof/>
            <w:webHidden/>
          </w:rPr>
          <w:fldChar w:fldCharType="begin"/>
        </w:r>
        <w:r>
          <w:rPr>
            <w:noProof/>
            <w:webHidden/>
          </w:rPr>
          <w:instrText xml:space="preserve"> PAGEREF _Toc139030824 \h </w:instrText>
        </w:r>
        <w:r>
          <w:rPr>
            <w:noProof/>
            <w:webHidden/>
          </w:rPr>
        </w:r>
        <w:r>
          <w:rPr>
            <w:noProof/>
            <w:webHidden/>
          </w:rPr>
          <w:fldChar w:fldCharType="separate"/>
        </w:r>
        <w:r w:rsidR="00BE208D">
          <w:rPr>
            <w:noProof/>
            <w:webHidden/>
          </w:rPr>
          <w:t>70</w:t>
        </w:r>
        <w:r>
          <w:rPr>
            <w:noProof/>
            <w:webHidden/>
          </w:rPr>
          <w:fldChar w:fldCharType="end"/>
        </w:r>
      </w:hyperlink>
    </w:p>
    <w:p w14:paraId="7A63104B" w14:textId="1C74318F" w:rsidR="00673087" w:rsidRDefault="00673087">
      <w:pPr>
        <w:pStyle w:val="TOC2"/>
        <w:rPr>
          <w:rFonts w:asciiTheme="minorHAnsi" w:eastAsiaTheme="minorEastAsia" w:hAnsiTheme="minorHAnsi" w:cstheme="minorBidi"/>
          <w:noProof/>
          <w:szCs w:val="22"/>
          <w:lang w:eastAsia="en-NZ"/>
        </w:rPr>
      </w:pPr>
      <w:hyperlink w:anchor="_Toc139030825" w:history="1">
        <w:r w:rsidRPr="00294BAB">
          <w:rPr>
            <w:rStyle w:val="Hyperlink"/>
            <w:rFonts w:cs="Segoe UI"/>
            <w:noProof/>
          </w:rPr>
          <w:t>Long COVID</w:t>
        </w:r>
        <w:r>
          <w:rPr>
            <w:noProof/>
            <w:webHidden/>
          </w:rPr>
          <w:tab/>
        </w:r>
        <w:r>
          <w:rPr>
            <w:noProof/>
            <w:webHidden/>
          </w:rPr>
          <w:fldChar w:fldCharType="begin"/>
        </w:r>
        <w:r>
          <w:rPr>
            <w:noProof/>
            <w:webHidden/>
          </w:rPr>
          <w:instrText xml:space="preserve"> PAGEREF _Toc139030825 \h </w:instrText>
        </w:r>
        <w:r>
          <w:rPr>
            <w:noProof/>
            <w:webHidden/>
          </w:rPr>
        </w:r>
        <w:r>
          <w:rPr>
            <w:noProof/>
            <w:webHidden/>
          </w:rPr>
          <w:fldChar w:fldCharType="separate"/>
        </w:r>
        <w:r w:rsidR="00BE208D">
          <w:rPr>
            <w:noProof/>
            <w:webHidden/>
          </w:rPr>
          <w:t>70</w:t>
        </w:r>
        <w:r>
          <w:rPr>
            <w:noProof/>
            <w:webHidden/>
          </w:rPr>
          <w:fldChar w:fldCharType="end"/>
        </w:r>
      </w:hyperlink>
    </w:p>
    <w:p w14:paraId="45750DC0" w14:textId="3A851E16" w:rsidR="00673087" w:rsidRDefault="00673087">
      <w:pPr>
        <w:pStyle w:val="TOC2"/>
        <w:rPr>
          <w:rFonts w:asciiTheme="minorHAnsi" w:eastAsiaTheme="minorEastAsia" w:hAnsiTheme="minorHAnsi" w:cstheme="minorBidi"/>
          <w:noProof/>
          <w:szCs w:val="22"/>
          <w:lang w:eastAsia="en-NZ"/>
        </w:rPr>
      </w:pPr>
      <w:hyperlink w:anchor="_Toc139030826" w:history="1">
        <w:r w:rsidRPr="00294BAB">
          <w:rPr>
            <w:rStyle w:val="Hyperlink"/>
            <w:rFonts w:cs="Segoe UI"/>
            <w:noProof/>
          </w:rPr>
          <w:t>COVID-19 vaccinations</w:t>
        </w:r>
        <w:r>
          <w:rPr>
            <w:noProof/>
            <w:webHidden/>
          </w:rPr>
          <w:tab/>
        </w:r>
        <w:r>
          <w:rPr>
            <w:noProof/>
            <w:webHidden/>
          </w:rPr>
          <w:fldChar w:fldCharType="begin"/>
        </w:r>
        <w:r>
          <w:rPr>
            <w:noProof/>
            <w:webHidden/>
          </w:rPr>
          <w:instrText xml:space="preserve"> PAGEREF _Toc139030826 \h </w:instrText>
        </w:r>
        <w:r>
          <w:rPr>
            <w:noProof/>
            <w:webHidden/>
          </w:rPr>
        </w:r>
        <w:r>
          <w:rPr>
            <w:noProof/>
            <w:webHidden/>
          </w:rPr>
          <w:fldChar w:fldCharType="separate"/>
        </w:r>
        <w:r w:rsidR="00BE208D">
          <w:rPr>
            <w:noProof/>
            <w:webHidden/>
          </w:rPr>
          <w:t>71</w:t>
        </w:r>
        <w:r>
          <w:rPr>
            <w:noProof/>
            <w:webHidden/>
          </w:rPr>
          <w:fldChar w:fldCharType="end"/>
        </w:r>
      </w:hyperlink>
    </w:p>
    <w:p w14:paraId="369D4602" w14:textId="6FB74D1F" w:rsidR="00673087" w:rsidRDefault="00673087">
      <w:pPr>
        <w:pStyle w:val="TOC1"/>
        <w:rPr>
          <w:rFonts w:asciiTheme="minorHAnsi" w:eastAsiaTheme="minorEastAsia" w:hAnsiTheme="minorHAnsi" w:cstheme="minorBidi"/>
          <w:noProof/>
          <w:sz w:val="22"/>
          <w:szCs w:val="22"/>
          <w:lang w:eastAsia="en-NZ"/>
        </w:rPr>
      </w:pPr>
      <w:hyperlink w:anchor="_Toc139030827" w:history="1">
        <w:r w:rsidRPr="00294BAB">
          <w:rPr>
            <w:rStyle w:val="Hyperlink"/>
            <w:noProof/>
          </w:rPr>
          <w:t>Technical notes | Ngā puna raraunga</w:t>
        </w:r>
        <w:r>
          <w:rPr>
            <w:noProof/>
            <w:webHidden/>
          </w:rPr>
          <w:tab/>
        </w:r>
        <w:r>
          <w:rPr>
            <w:noProof/>
            <w:webHidden/>
          </w:rPr>
          <w:fldChar w:fldCharType="begin"/>
        </w:r>
        <w:r>
          <w:rPr>
            <w:noProof/>
            <w:webHidden/>
          </w:rPr>
          <w:instrText xml:space="preserve"> PAGEREF _Toc139030827 \h </w:instrText>
        </w:r>
        <w:r>
          <w:rPr>
            <w:noProof/>
            <w:webHidden/>
          </w:rPr>
        </w:r>
        <w:r>
          <w:rPr>
            <w:noProof/>
            <w:webHidden/>
          </w:rPr>
          <w:fldChar w:fldCharType="separate"/>
        </w:r>
        <w:r w:rsidR="00BE208D">
          <w:rPr>
            <w:noProof/>
            <w:webHidden/>
          </w:rPr>
          <w:t>72</w:t>
        </w:r>
        <w:r>
          <w:rPr>
            <w:noProof/>
            <w:webHidden/>
          </w:rPr>
          <w:fldChar w:fldCharType="end"/>
        </w:r>
      </w:hyperlink>
    </w:p>
    <w:p w14:paraId="4A938A9A" w14:textId="08018413" w:rsidR="00673087" w:rsidRDefault="00673087">
      <w:pPr>
        <w:pStyle w:val="TOC1"/>
        <w:rPr>
          <w:rFonts w:asciiTheme="minorHAnsi" w:eastAsiaTheme="minorEastAsia" w:hAnsiTheme="minorHAnsi" w:cstheme="minorBidi"/>
          <w:noProof/>
          <w:sz w:val="22"/>
          <w:szCs w:val="22"/>
          <w:lang w:eastAsia="en-NZ"/>
        </w:rPr>
      </w:pPr>
      <w:hyperlink w:anchor="_Toc139030828" w:history="1">
        <w:r w:rsidRPr="00294BAB">
          <w:rPr>
            <w:rStyle w:val="Hyperlink"/>
            <w:noProof/>
          </w:rPr>
          <w:t>References | Ngā tohutoro</w:t>
        </w:r>
        <w:r>
          <w:rPr>
            <w:noProof/>
            <w:webHidden/>
          </w:rPr>
          <w:tab/>
        </w:r>
        <w:r>
          <w:rPr>
            <w:noProof/>
            <w:webHidden/>
          </w:rPr>
          <w:fldChar w:fldCharType="begin"/>
        </w:r>
        <w:r>
          <w:rPr>
            <w:noProof/>
            <w:webHidden/>
          </w:rPr>
          <w:instrText xml:space="preserve"> PAGEREF _Toc139030828 \h </w:instrText>
        </w:r>
        <w:r>
          <w:rPr>
            <w:noProof/>
            <w:webHidden/>
          </w:rPr>
        </w:r>
        <w:r>
          <w:rPr>
            <w:noProof/>
            <w:webHidden/>
          </w:rPr>
          <w:fldChar w:fldCharType="separate"/>
        </w:r>
        <w:r w:rsidR="00BE208D">
          <w:rPr>
            <w:noProof/>
            <w:webHidden/>
          </w:rPr>
          <w:t>76</w:t>
        </w:r>
        <w:r>
          <w:rPr>
            <w:noProof/>
            <w:webHidden/>
          </w:rPr>
          <w:fldChar w:fldCharType="end"/>
        </w:r>
      </w:hyperlink>
    </w:p>
    <w:p w14:paraId="49038387" w14:textId="1939018D" w:rsidR="003A5FEA" w:rsidRDefault="00673087" w:rsidP="009D7A76">
      <w:pPr>
        <w:pStyle w:val="TOC1"/>
        <w:spacing w:before="0"/>
      </w:pPr>
      <w:r>
        <w:rPr>
          <w:b/>
        </w:rPr>
        <w:lastRenderedPageBreak/>
        <w:fldChar w:fldCharType="end"/>
      </w:r>
      <w:r w:rsidR="003A5FEA">
        <w:t>List of Figures</w:t>
      </w:r>
    </w:p>
    <w:p w14:paraId="458CFD11" w14:textId="1230E515" w:rsidR="00D079D8" w:rsidRDefault="003A5FEA" w:rsidP="00D079D8">
      <w:pPr>
        <w:pStyle w:val="TOC3"/>
        <w:ind w:left="0" w:firstLine="0"/>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D079D8">
        <w:rPr>
          <w:noProof/>
        </w:rPr>
        <w:t>Figure 1: Estimated resident population of Aotearoa New Zealand, 1991–2022</w:t>
      </w:r>
      <w:r w:rsidR="00D079D8">
        <w:rPr>
          <w:noProof/>
        </w:rPr>
        <w:tab/>
      </w:r>
      <w:r w:rsidR="00D079D8">
        <w:rPr>
          <w:noProof/>
        </w:rPr>
        <w:fldChar w:fldCharType="begin"/>
      </w:r>
      <w:r w:rsidR="00D079D8">
        <w:rPr>
          <w:noProof/>
        </w:rPr>
        <w:instrText xml:space="preserve"> PAGEREF _Toc138409924 \h </w:instrText>
      </w:r>
      <w:r w:rsidR="00D079D8">
        <w:rPr>
          <w:noProof/>
        </w:rPr>
      </w:r>
      <w:r w:rsidR="00D079D8">
        <w:rPr>
          <w:noProof/>
        </w:rPr>
        <w:fldChar w:fldCharType="separate"/>
      </w:r>
      <w:r w:rsidR="00BE208D">
        <w:rPr>
          <w:noProof/>
        </w:rPr>
        <w:t>5</w:t>
      </w:r>
      <w:r w:rsidR="00D079D8">
        <w:rPr>
          <w:noProof/>
        </w:rPr>
        <w:fldChar w:fldCharType="end"/>
      </w:r>
    </w:p>
    <w:p w14:paraId="4CD55EA3" w14:textId="0938000F"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 Net migration to Aotearoa New Zealand, January 2017 – January 2023</w:t>
      </w:r>
      <w:r>
        <w:rPr>
          <w:noProof/>
        </w:rPr>
        <w:tab/>
      </w:r>
      <w:r>
        <w:rPr>
          <w:noProof/>
        </w:rPr>
        <w:fldChar w:fldCharType="begin"/>
      </w:r>
      <w:r>
        <w:rPr>
          <w:noProof/>
        </w:rPr>
        <w:instrText xml:space="preserve"> PAGEREF _Toc138409925 \h </w:instrText>
      </w:r>
      <w:r>
        <w:rPr>
          <w:noProof/>
        </w:rPr>
      </w:r>
      <w:r>
        <w:rPr>
          <w:noProof/>
        </w:rPr>
        <w:fldChar w:fldCharType="separate"/>
      </w:r>
      <w:r w:rsidR="00BE208D">
        <w:rPr>
          <w:noProof/>
        </w:rPr>
        <w:t>6</w:t>
      </w:r>
      <w:r>
        <w:rPr>
          <w:noProof/>
        </w:rPr>
        <w:fldChar w:fldCharType="end"/>
      </w:r>
    </w:p>
    <w:p w14:paraId="309C7320" w14:textId="3BDB8745"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 Past and projected population of Aotearoa New Zealand, in total and by ethnic group, 2018–2043</w:t>
      </w:r>
      <w:r>
        <w:rPr>
          <w:noProof/>
        </w:rPr>
        <w:tab/>
      </w:r>
      <w:r>
        <w:rPr>
          <w:noProof/>
        </w:rPr>
        <w:fldChar w:fldCharType="begin"/>
      </w:r>
      <w:r>
        <w:rPr>
          <w:noProof/>
        </w:rPr>
        <w:instrText xml:space="preserve"> PAGEREF _Toc138409926 \h </w:instrText>
      </w:r>
      <w:r>
        <w:rPr>
          <w:noProof/>
        </w:rPr>
      </w:r>
      <w:r>
        <w:rPr>
          <w:noProof/>
        </w:rPr>
        <w:fldChar w:fldCharType="separate"/>
      </w:r>
      <w:r w:rsidR="00BE208D">
        <w:rPr>
          <w:noProof/>
        </w:rPr>
        <w:t>7</w:t>
      </w:r>
      <w:r>
        <w:rPr>
          <w:noProof/>
        </w:rPr>
        <w:fldChar w:fldCharType="end"/>
      </w:r>
    </w:p>
    <w:p w14:paraId="7CF95947" w14:textId="3005F678"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 Estimated population of Aotearoa New Zealand, by ethnic group and age group, 2022</w:t>
      </w:r>
      <w:r>
        <w:rPr>
          <w:noProof/>
        </w:rPr>
        <w:tab/>
      </w:r>
      <w:r>
        <w:rPr>
          <w:noProof/>
        </w:rPr>
        <w:fldChar w:fldCharType="begin"/>
      </w:r>
      <w:r>
        <w:rPr>
          <w:noProof/>
        </w:rPr>
        <w:instrText xml:space="preserve"> PAGEREF _Toc138409927 \h </w:instrText>
      </w:r>
      <w:r>
        <w:rPr>
          <w:noProof/>
        </w:rPr>
      </w:r>
      <w:r>
        <w:rPr>
          <w:noProof/>
        </w:rPr>
        <w:fldChar w:fldCharType="separate"/>
      </w:r>
      <w:r w:rsidR="00BE208D">
        <w:rPr>
          <w:noProof/>
        </w:rPr>
        <w:t>8</w:t>
      </w:r>
      <w:r>
        <w:rPr>
          <w:noProof/>
        </w:rPr>
        <w:fldChar w:fldCharType="end"/>
      </w:r>
    </w:p>
    <w:p w14:paraId="04E30404" w14:textId="2E017D96"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5: Aotearoa New Zealand population, by age group, in 2001, 2022 and (projected) 2048</w:t>
      </w:r>
      <w:r>
        <w:rPr>
          <w:noProof/>
        </w:rPr>
        <w:tab/>
      </w:r>
      <w:r>
        <w:rPr>
          <w:noProof/>
        </w:rPr>
        <w:fldChar w:fldCharType="begin"/>
      </w:r>
      <w:r>
        <w:rPr>
          <w:noProof/>
        </w:rPr>
        <w:instrText xml:space="preserve"> PAGEREF _Toc138409928 \h </w:instrText>
      </w:r>
      <w:r>
        <w:rPr>
          <w:noProof/>
        </w:rPr>
      </w:r>
      <w:r>
        <w:rPr>
          <w:noProof/>
        </w:rPr>
        <w:fldChar w:fldCharType="separate"/>
      </w:r>
      <w:r w:rsidR="00BE208D">
        <w:rPr>
          <w:noProof/>
        </w:rPr>
        <w:t>9</w:t>
      </w:r>
      <w:r>
        <w:rPr>
          <w:noProof/>
        </w:rPr>
        <w:fldChar w:fldCharType="end"/>
      </w:r>
    </w:p>
    <w:p w14:paraId="141DAD73" w14:textId="2BEA7075"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6: Percentage of Aotearoa New Zealand population living in rural and urban areas, by ethnic group, 2022</w:t>
      </w:r>
      <w:r>
        <w:rPr>
          <w:noProof/>
        </w:rPr>
        <w:tab/>
      </w:r>
      <w:r>
        <w:rPr>
          <w:noProof/>
        </w:rPr>
        <w:fldChar w:fldCharType="begin"/>
      </w:r>
      <w:r>
        <w:rPr>
          <w:noProof/>
        </w:rPr>
        <w:instrText xml:space="preserve"> PAGEREF _Toc138409929 \h </w:instrText>
      </w:r>
      <w:r>
        <w:rPr>
          <w:noProof/>
        </w:rPr>
      </w:r>
      <w:r>
        <w:rPr>
          <w:noProof/>
        </w:rPr>
        <w:fldChar w:fldCharType="separate"/>
      </w:r>
      <w:r w:rsidR="00BE208D">
        <w:rPr>
          <w:noProof/>
        </w:rPr>
        <w:t>10</w:t>
      </w:r>
      <w:r>
        <w:rPr>
          <w:noProof/>
        </w:rPr>
        <w:fldChar w:fldCharType="end"/>
      </w:r>
    </w:p>
    <w:p w14:paraId="5193DDC2" w14:textId="13277D0C"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7: Percentage of Aotearoa New Zealand population living in each deprivation quintile (NZDep2018), by ethnic group, 2022</w:t>
      </w:r>
      <w:r>
        <w:rPr>
          <w:noProof/>
        </w:rPr>
        <w:tab/>
      </w:r>
      <w:r>
        <w:rPr>
          <w:noProof/>
        </w:rPr>
        <w:fldChar w:fldCharType="begin"/>
      </w:r>
      <w:r>
        <w:rPr>
          <w:noProof/>
        </w:rPr>
        <w:instrText xml:space="preserve"> PAGEREF _Toc138409930 \h </w:instrText>
      </w:r>
      <w:r>
        <w:rPr>
          <w:noProof/>
        </w:rPr>
      </w:r>
      <w:r>
        <w:rPr>
          <w:noProof/>
        </w:rPr>
        <w:fldChar w:fldCharType="separate"/>
      </w:r>
      <w:r w:rsidR="00BE208D">
        <w:rPr>
          <w:noProof/>
        </w:rPr>
        <w:t>11</w:t>
      </w:r>
      <w:r>
        <w:rPr>
          <w:noProof/>
        </w:rPr>
        <w:fldChar w:fldCharType="end"/>
      </w:r>
    </w:p>
    <w:p w14:paraId="30AF322B" w14:textId="0AB7A9DE"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8: Life expectancy at birth, by ethnic group and gender, 2017–2019</w:t>
      </w:r>
      <w:r>
        <w:rPr>
          <w:noProof/>
        </w:rPr>
        <w:tab/>
      </w:r>
      <w:r>
        <w:rPr>
          <w:noProof/>
        </w:rPr>
        <w:fldChar w:fldCharType="begin"/>
      </w:r>
      <w:r>
        <w:rPr>
          <w:noProof/>
        </w:rPr>
        <w:instrText xml:space="preserve"> PAGEREF _Toc138409931 \h </w:instrText>
      </w:r>
      <w:r>
        <w:rPr>
          <w:noProof/>
        </w:rPr>
      </w:r>
      <w:r>
        <w:rPr>
          <w:noProof/>
        </w:rPr>
        <w:fldChar w:fldCharType="separate"/>
      </w:r>
      <w:r w:rsidR="00BE208D">
        <w:rPr>
          <w:noProof/>
        </w:rPr>
        <w:t>15</w:t>
      </w:r>
      <w:r>
        <w:rPr>
          <w:noProof/>
        </w:rPr>
        <w:fldChar w:fldCharType="end"/>
      </w:r>
    </w:p>
    <w:p w14:paraId="4C247B87" w14:textId="64D879F4"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9: Life expectancy at birth, by deprivation quintile (NZDep2018) and gender, 2017–2019</w:t>
      </w:r>
      <w:r>
        <w:rPr>
          <w:noProof/>
        </w:rPr>
        <w:tab/>
      </w:r>
      <w:r>
        <w:rPr>
          <w:noProof/>
        </w:rPr>
        <w:fldChar w:fldCharType="begin"/>
      </w:r>
      <w:r>
        <w:rPr>
          <w:noProof/>
        </w:rPr>
        <w:instrText xml:space="preserve"> PAGEREF _Toc138409932 \h </w:instrText>
      </w:r>
      <w:r>
        <w:rPr>
          <w:noProof/>
        </w:rPr>
      </w:r>
      <w:r>
        <w:rPr>
          <w:noProof/>
        </w:rPr>
        <w:fldChar w:fldCharType="separate"/>
      </w:r>
      <w:r w:rsidR="00BE208D">
        <w:rPr>
          <w:noProof/>
        </w:rPr>
        <w:t>15</w:t>
      </w:r>
      <w:r>
        <w:rPr>
          <w:noProof/>
        </w:rPr>
        <w:fldChar w:fldCharType="end"/>
      </w:r>
    </w:p>
    <w:p w14:paraId="2EA3D711" w14:textId="19EC6E68"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10: Number and rate of fetal and infant deaths, 1996–2020</w:t>
      </w:r>
      <w:r>
        <w:rPr>
          <w:noProof/>
        </w:rPr>
        <w:tab/>
      </w:r>
      <w:r>
        <w:rPr>
          <w:noProof/>
        </w:rPr>
        <w:fldChar w:fldCharType="begin"/>
      </w:r>
      <w:r>
        <w:rPr>
          <w:noProof/>
        </w:rPr>
        <w:instrText xml:space="preserve"> PAGEREF _Toc138409933 \h </w:instrText>
      </w:r>
      <w:r>
        <w:rPr>
          <w:noProof/>
        </w:rPr>
      </w:r>
      <w:r>
        <w:rPr>
          <w:noProof/>
        </w:rPr>
        <w:fldChar w:fldCharType="separate"/>
      </w:r>
      <w:r w:rsidR="00BE208D">
        <w:rPr>
          <w:noProof/>
        </w:rPr>
        <w:t>18</w:t>
      </w:r>
      <w:r>
        <w:rPr>
          <w:noProof/>
        </w:rPr>
        <w:fldChar w:fldCharType="end"/>
      </w:r>
    </w:p>
    <w:p w14:paraId="5E7E65AA" w14:textId="2469F1DA"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11: Top 10 causes of death and disability for females and males, 2019, and percentage change between 2009 and 2019, as measured by disability-adjusted life years</w:t>
      </w:r>
      <w:r>
        <w:rPr>
          <w:noProof/>
        </w:rPr>
        <w:tab/>
      </w:r>
      <w:r>
        <w:rPr>
          <w:noProof/>
        </w:rPr>
        <w:fldChar w:fldCharType="begin"/>
      </w:r>
      <w:r>
        <w:rPr>
          <w:noProof/>
        </w:rPr>
        <w:instrText xml:space="preserve"> PAGEREF _Toc138409934 \h </w:instrText>
      </w:r>
      <w:r>
        <w:rPr>
          <w:noProof/>
        </w:rPr>
      </w:r>
      <w:r>
        <w:rPr>
          <w:noProof/>
        </w:rPr>
        <w:fldChar w:fldCharType="separate"/>
      </w:r>
      <w:r w:rsidR="00BE208D">
        <w:rPr>
          <w:noProof/>
        </w:rPr>
        <w:t>20</w:t>
      </w:r>
      <w:r>
        <w:rPr>
          <w:noProof/>
        </w:rPr>
        <w:fldChar w:fldCharType="end"/>
      </w:r>
    </w:p>
    <w:p w14:paraId="320F1755" w14:textId="581204B8"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12: Cancer registrations (incidence rate per 100,000 people), Māori and non-Māori, 2011–2020</w:t>
      </w:r>
      <w:r>
        <w:rPr>
          <w:noProof/>
        </w:rPr>
        <w:tab/>
      </w:r>
      <w:r>
        <w:rPr>
          <w:noProof/>
        </w:rPr>
        <w:fldChar w:fldCharType="begin"/>
      </w:r>
      <w:r>
        <w:rPr>
          <w:noProof/>
        </w:rPr>
        <w:instrText xml:space="preserve"> PAGEREF _Toc138409935 \h </w:instrText>
      </w:r>
      <w:r>
        <w:rPr>
          <w:noProof/>
        </w:rPr>
      </w:r>
      <w:r>
        <w:rPr>
          <w:noProof/>
        </w:rPr>
        <w:fldChar w:fldCharType="separate"/>
      </w:r>
      <w:r w:rsidR="00BE208D">
        <w:rPr>
          <w:noProof/>
        </w:rPr>
        <w:t>21</w:t>
      </w:r>
      <w:r>
        <w:rPr>
          <w:noProof/>
        </w:rPr>
        <w:fldChar w:fldCharType="end"/>
      </w:r>
    </w:p>
    <w:p w14:paraId="07FED2ED" w14:textId="68816509"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13: Cancer mortality rates per 100,000 people, Māori and non-Māori, 1996–2018</w:t>
      </w:r>
      <w:r>
        <w:rPr>
          <w:noProof/>
        </w:rPr>
        <w:tab/>
      </w:r>
      <w:r>
        <w:rPr>
          <w:noProof/>
        </w:rPr>
        <w:fldChar w:fldCharType="begin"/>
      </w:r>
      <w:r>
        <w:rPr>
          <w:noProof/>
        </w:rPr>
        <w:instrText xml:space="preserve"> PAGEREF _Toc138409936 \h </w:instrText>
      </w:r>
      <w:r>
        <w:rPr>
          <w:noProof/>
        </w:rPr>
      </w:r>
      <w:r>
        <w:rPr>
          <w:noProof/>
        </w:rPr>
        <w:fldChar w:fldCharType="separate"/>
      </w:r>
      <w:r w:rsidR="00BE208D">
        <w:rPr>
          <w:noProof/>
        </w:rPr>
        <w:t>22</w:t>
      </w:r>
      <w:r>
        <w:rPr>
          <w:noProof/>
        </w:rPr>
        <w:fldChar w:fldCharType="end"/>
      </w:r>
    </w:p>
    <w:p w14:paraId="55EE86AB" w14:textId="7FBD60BF"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14: Changes in cancer survival for the 10 most diagnosed cancers, 1998 – 1999 and 2018 – 2019</w:t>
      </w:r>
      <w:r>
        <w:rPr>
          <w:noProof/>
        </w:rPr>
        <w:tab/>
      </w:r>
      <w:r>
        <w:rPr>
          <w:noProof/>
        </w:rPr>
        <w:fldChar w:fldCharType="begin"/>
      </w:r>
      <w:r>
        <w:rPr>
          <w:noProof/>
        </w:rPr>
        <w:instrText xml:space="preserve"> PAGEREF _Toc138409937 \h </w:instrText>
      </w:r>
      <w:r>
        <w:rPr>
          <w:noProof/>
        </w:rPr>
      </w:r>
      <w:r>
        <w:rPr>
          <w:noProof/>
        </w:rPr>
        <w:fldChar w:fldCharType="separate"/>
      </w:r>
      <w:r w:rsidR="00BE208D">
        <w:rPr>
          <w:noProof/>
        </w:rPr>
        <w:t>23</w:t>
      </w:r>
      <w:r>
        <w:rPr>
          <w:noProof/>
        </w:rPr>
        <w:fldChar w:fldCharType="end"/>
      </w:r>
    </w:p>
    <w:p w14:paraId="3AB12D48" w14:textId="63BA0699"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15. Age-specific rate of diabetes per 100,000 people, by ethnic group and age group, 2021</w:t>
      </w:r>
      <w:r>
        <w:rPr>
          <w:noProof/>
        </w:rPr>
        <w:tab/>
      </w:r>
      <w:r>
        <w:rPr>
          <w:noProof/>
        </w:rPr>
        <w:fldChar w:fldCharType="begin"/>
      </w:r>
      <w:r>
        <w:rPr>
          <w:noProof/>
        </w:rPr>
        <w:instrText xml:space="preserve"> PAGEREF _Toc138409938 \h </w:instrText>
      </w:r>
      <w:r>
        <w:rPr>
          <w:noProof/>
        </w:rPr>
      </w:r>
      <w:r>
        <w:rPr>
          <w:noProof/>
        </w:rPr>
        <w:fldChar w:fldCharType="separate"/>
      </w:r>
      <w:r w:rsidR="00BE208D">
        <w:rPr>
          <w:noProof/>
        </w:rPr>
        <w:t>24</w:t>
      </w:r>
      <w:r>
        <w:rPr>
          <w:noProof/>
        </w:rPr>
        <w:fldChar w:fldCharType="end"/>
      </w:r>
    </w:p>
    <w:p w14:paraId="3A22F0DC" w14:textId="683672F5"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16: Percentage of children caries-free at age 5 years, by ethnic group, 2010–2021</w:t>
      </w:r>
      <w:r>
        <w:rPr>
          <w:noProof/>
        </w:rPr>
        <w:tab/>
      </w:r>
      <w:r>
        <w:rPr>
          <w:noProof/>
        </w:rPr>
        <w:fldChar w:fldCharType="begin"/>
      </w:r>
      <w:r>
        <w:rPr>
          <w:noProof/>
        </w:rPr>
        <w:instrText xml:space="preserve"> PAGEREF _Toc138409939 \h </w:instrText>
      </w:r>
      <w:r>
        <w:rPr>
          <w:noProof/>
        </w:rPr>
      </w:r>
      <w:r>
        <w:rPr>
          <w:noProof/>
        </w:rPr>
        <w:fldChar w:fldCharType="separate"/>
      </w:r>
      <w:r w:rsidR="00BE208D">
        <w:rPr>
          <w:noProof/>
        </w:rPr>
        <w:t>25</w:t>
      </w:r>
      <w:r>
        <w:rPr>
          <w:noProof/>
        </w:rPr>
        <w:fldChar w:fldCharType="end"/>
      </w:r>
    </w:p>
    <w:p w14:paraId="697EE942" w14:textId="7032002F"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17: Mean number of decayed, missing and filled teeth (DMFT) per child at year 8, by ethnic group, 2010–2021</w:t>
      </w:r>
      <w:r>
        <w:rPr>
          <w:noProof/>
        </w:rPr>
        <w:tab/>
      </w:r>
      <w:r>
        <w:rPr>
          <w:noProof/>
        </w:rPr>
        <w:fldChar w:fldCharType="begin"/>
      </w:r>
      <w:r>
        <w:rPr>
          <w:noProof/>
        </w:rPr>
        <w:instrText xml:space="preserve"> PAGEREF _Toc138409940 \h </w:instrText>
      </w:r>
      <w:r>
        <w:rPr>
          <w:noProof/>
        </w:rPr>
      </w:r>
      <w:r>
        <w:rPr>
          <w:noProof/>
        </w:rPr>
        <w:fldChar w:fldCharType="separate"/>
      </w:r>
      <w:r w:rsidR="00BE208D">
        <w:rPr>
          <w:noProof/>
        </w:rPr>
        <w:t>26</w:t>
      </w:r>
      <w:r>
        <w:rPr>
          <w:noProof/>
        </w:rPr>
        <w:fldChar w:fldCharType="end"/>
      </w:r>
    </w:p>
    <w:p w14:paraId="44C771CD" w14:textId="67AEA94D"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18: Percentage of children who visited a dental health care worker, 3-year rolling average 2013/14–2021/22</w:t>
      </w:r>
      <w:r>
        <w:rPr>
          <w:noProof/>
        </w:rPr>
        <w:tab/>
      </w:r>
      <w:r>
        <w:rPr>
          <w:noProof/>
        </w:rPr>
        <w:fldChar w:fldCharType="begin"/>
      </w:r>
      <w:r>
        <w:rPr>
          <w:noProof/>
        </w:rPr>
        <w:instrText xml:space="preserve"> PAGEREF _Toc138409941 \h </w:instrText>
      </w:r>
      <w:r>
        <w:rPr>
          <w:noProof/>
        </w:rPr>
      </w:r>
      <w:r>
        <w:rPr>
          <w:noProof/>
        </w:rPr>
        <w:fldChar w:fldCharType="separate"/>
      </w:r>
      <w:r w:rsidR="00BE208D">
        <w:rPr>
          <w:noProof/>
        </w:rPr>
        <w:t>27</w:t>
      </w:r>
      <w:r>
        <w:rPr>
          <w:noProof/>
        </w:rPr>
        <w:fldChar w:fldCharType="end"/>
      </w:r>
    </w:p>
    <w:p w14:paraId="3265A3BC" w14:textId="095E8327"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19: Percentage of people experiencing high or very high psychological distress, by gender, 3-year rolling average 2013/14–2021/22</w:t>
      </w:r>
      <w:r>
        <w:rPr>
          <w:noProof/>
        </w:rPr>
        <w:tab/>
      </w:r>
      <w:r>
        <w:rPr>
          <w:noProof/>
        </w:rPr>
        <w:fldChar w:fldCharType="begin"/>
      </w:r>
      <w:r>
        <w:rPr>
          <w:noProof/>
        </w:rPr>
        <w:instrText xml:space="preserve"> PAGEREF _Toc138409942 \h </w:instrText>
      </w:r>
      <w:r>
        <w:rPr>
          <w:noProof/>
        </w:rPr>
      </w:r>
      <w:r>
        <w:rPr>
          <w:noProof/>
        </w:rPr>
        <w:fldChar w:fldCharType="separate"/>
      </w:r>
      <w:r w:rsidR="00BE208D">
        <w:rPr>
          <w:noProof/>
        </w:rPr>
        <w:t>30</w:t>
      </w:r>
      <w:r>
        <w:rPr>
          <w:noProof/>
        </w:rPr>
        <w:fldChar w:fldCharType="end"/>
      </w:r>
    </w:p>
    <w:p w14:paraId="00472A1C" w14:textId="10FCBF48"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20: Percentage of people experiencing high or very high psychological distress, by ethnic group, 3-year rolling average 2013/14–2021/22</w:t>
      </w:r>
      <w:r>
        <w:rPr>
          <w:noProof/>
        </w:rPr>
        <w:tab/>
      </w:r>
      <w:r>
        <w:rPr>
          <w:noProof/>
        </w:rPr>
        <w:fldChar w:fldCharType="begin"/>
      </w:r>
      <w:r>
        <w:rPr>
          <w:noProof/>
        </w:rPr>
        <w:instrText xml:space="preserve"> PAGEREF _Toc138409943 \h </w:instrText>
      </w:r>
      <w:r>
        <w:rPr>
          <w:noProof/>
        </w:rPr>
      </w:r>
      <w:r>
        <w:rPr>
          <w:noProof/>
        </w:rPr>
        <w:fldChar w:fldCharType="separate"/>
      </w:r>
      <w:r w:rsidR="00BE208D">
        <w:rPr>
          <w:noProof/>
        </w:rPr>
        <w:t>31</w:t>
      </w:r>
      <w:r>
        <w:rPr>
          <w:noProof/>
        </w:rPr>
        <w:fldChar w:fldCharType="end"/>
      </w:r>
    </w:p>
    <w:p w14:paraId="45271A3C" w14:textId="5E1B2AC2"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21: Percentage of people experiencing high or very high psychological distress, by age group, 3-year rolling average 2013/14–2021/22</w:t>
      </w:r>
      <w:r>
        <w:rPr>
          <w:noProof/>
        </w:rPr>
        <w:tab/>
      </w:r>
      <w:r>
        <w:rPr>
          <w:noProof/>
        </w:rPr>
        <w:fldChar w:fldCharType="begin"/>
      </w:r>
      <w:r>
        <w:rPr>
          <w:noProof/>
        </w:rPr>
        <w:instrText xml:space="preserve"> PAGEREF _Toc138409944 \h </w:instrText>
      </w:r>
      <w:r>
        <w:rPr>
          <w:noProof/>
        </w:rPr>
      </w:r>
      <w:r>
        <w:rPr>
          <w:noProof/>
        </w:rPr>
        <w:fldChar w:fldCharType="separate"/>
      </w:r>
      <w:r w:rsidR="00BE208D">
        <w:rPr>
          <w:noProof/>
        </w:rPr>
        <w:t>32</w:t>
      </w:r>
      <w:r>
        <w:rPr>
          <w:noProof/>
        </w:rPr>
        <w:fldChar w:fldCharType="end"/>
      </w:r>
    </w:p>
    <w:p w14:paraId="08265422" w14:textId="7A78022C"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lastRenderedPageBreak/>
        <w:t>Figure 22: Percentage of children aged 2–14 years experiencing emotional and/or behavioural problems, by ethnic group, 3</w:t>
      </w:r>
      <w:r>
        <w:rPr>
          <w:noProof/>
        </w:rPr>
        <w:noBreakHyphen/>
        <w:t>year rolling average 2013/14–2021/22</w:t>
      </w:r>
      <w:r>
        <w:rPr>
          <w:noProof/>
        </w:rPr>
        <w:tab/>
      </w:r>
      <w:r>
        <w:rPr>
          <w:noProof/>
        </w:rPr>
        <w:fldChar w:fldCharType="begin"/>
      </w:r>
      <w:r>
        <w:rPr>
          <w:noProof/>
        </w:rPr>
        <w:instrText xml:space="preserve"> PAGEREF _Toc138409945 \h </w:instrText>
      </w:r>
      <w:r>
        <w:rPr>
          <w:noProof/>
        </w:rPr>
      </w:r>
      <w:r>
        <w:rPr>
          <w:noProof/>
        </w:rPr>
        <w:fldChar w:fldCharType="separate"/>
      </w:r>
      <w:r w:rsidR="00BE208D">
        <w:rPr>
          <w:noProof/>
        </w:rPr>
        <w:t>33</w:t>
      </w:r>
      <w:r>
        <w:rPr>
          <w:noProof/>
        </w:rPr>
        <w:fldChar w:fldCharType="end"/>
      </w:r>
    </w:p>
    <w:p w14:paraId="4176402B" w14:textId="17060953"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23: Rate of suicide per 100,000 total population, 1948–2018</w:t>
      </w:r>
      <w:r>
        <w:rPr>
          <w:noProof/>
        </w:rPr>
        <w:tab/>
      </w:r>
      <w:r>
        <w:rPr>
          <w:noProof/>
        </w:rPr>
        <w:fldChar w:fldCharType="begin"/>
      </w:r>
      <w:r>
        <w:rPr>
          <w:noProof/>
        </w:rPr>
        <w:instrText xml:space="preserve"> PAGEREF _Toc138409946 \h </w:instrText>
      </w:r>
      <w:r>
        <w:rPr>
          <w:noProof/>
        </w:rPr>
      </w:r>
      <w:r>
        <w:rPr>
          <w:noProof/>
        </w:rPr>
        <w:fldChar w:fldCharType="separate"/>
      </w:r>
      <w:r w:rsidR="00BE208D">
        <w:rPr>
          <w:noProof/>
        </w:rPr>
        <w:t>34</w:t>
      </w:r>
      <w:r>
        <w:rPr>
          <w:noProof/>
        </w:rPr>
        <w:fldChar w:fldCharType="end"/>
      </w:r>
    </w:p>
    <w:p w14:paraId="708884B7" w14:textId="71A92E51"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24: Daily smoking rates, by ethnic group, 3-year rolling average 2013/14–2021/22</w:t>
      </w:r>
      <w:r>
        <w:rPr>
          <w:noProof/>
        </w:rPr>
        <w:tab/>
      </w:r>
      <w:r>
        <w:rPr>
          <w:noProof/>
        </w:rPr>
        <w:fldChar w:fldCharType="begin"/>
      </w:r>
      <w:r>
        <w:rPr>
          <w:noProof/>
        </w:rPr>
        <w:instrText xml:space="preserve"> PAGEREF _Toc138409947 \h </w:instrText>
      </w:r>
      <w:r>
        <w:rPr>
          <w:noProof/>
        </w:rPr>
      </w:r>
      <w:r>
        <w:rPr>
          <w:noProof/>
        </w:rPr>
        <w:fldChar w:fldCharType="separate"/>
      </w:r>
      <w:r w:rsidR="00BE208D">
        <w:rPr>
          <w:noProof/>
        </w:rPr>
        <w:t>40</w:t>
      </w:r>
      <w:r>
        <w:rPr>
          <w:noProof/>
        </w:rPr>
        <w:fldChar w:fldCharType="end"/>
      </w:r>
    </w:p>
    <w:p w14:paraId="40584B2E" w14:textId="22CE437C"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25: Daily smoking rates, by age group, 3-year rolling average 2013/14–2021/22</w:t>
      </w:r>
      <w:r>
        <w:rPr>
          <w:noProof/>
        </w:rPr>
        <w:tab/>
      </w:r>
      <w:r>
        <w:rPr>
          <w:noProof/>
        </w:rPr>
        <w:fldChar w:fldCharType="begin"/>
      </w:r>
      <w:r>
        <w:rPr>
          <w:noProof/>
        </w:rPr>
        <w:instrText xml:space="preserve"> PAGEREF _Toc138409948 \h </w:instrText>
      </w:r>
      <w:r>
        <w:rPr>
          <w:noProof/>
        </w:rPr>
      </w:r>
      <w:r>
        <w:rPr>
          <w:noProof/>
        </w:rPr>
        <w:fldChar w:fldCharType="separate"/>
      </w:r>
      <w:r w:rsidR="00BE208D">
        <w:rPr>
          <w:noProof/>
        </w:rPr>
        <w:t>40</w:t>
      </w:r>
      <w:r>
        <w:rPr>
          <w:noProof/>
        </w:rPr>
        <w:fldChar w:fldCharType="end"/>
      </w:r>
    </w:p>
    <w:p w14:paraId="1648F05E" w14:textId="358BBE58"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26: Percentage of hazardous drinkers, by age group, 3-year rolling average 2016/17–2021/22</w:t>
      </w:r>
      <w:r>
        <w:rPr>
          <w:noProof/>
        </w:rPr>
        <w:tab/>
      </w:r>
      <w:r>
        <w:rPr>
          <w:noProof/>
        </w:rPr>
        <w:fldChar w:fldCharType="begin"/>
      </w:r>
      <w:r>
        <w:rPr>
          <w:noProof/>
        </w:rPr>
        <w:instrText xml:space="preserve"> PAGEREF _Toc138409949 \h </w:instrText>
      </w:r>
      <w:r>
        <w:rPr>
          <w:noProof/>
        </w:rPr>
      </w:r>
      <w:r>
        <w:rPr>
          <w:noProof/>
        </w:rPr>
        <w:fldChar w:fldCharType="separate"/>
      </w:r>
      <w:r w:rsidR="00BE208D">
        <w:rPr>
          <w:noProof/>
        </w:rPr>
        <w:t>42</w:t>
      </w:r>
      <w:r>
        <w:rPr>
          <w:noProof/>
        </w:rPr>
        <w:fldChar w:fldCharType="end"/>
      </w:r>
    </w:p>
    <w:p w14:paraId="0739F2A9" w14:textId="46156AFA"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27: Percentage of Aotearoa New Zealand population not enrolled in a PHO, by age group and ethnic group, 2022</w:t>
      </w:r>
      <w:r>
        <w:rPr>
          <w:noProof/>
        </w:rPr>
        <w:tab/>
      </w:r>
      <w:r>
        <w:rPr>
          <w:noProof/>
        </w:rPr>
        <w:fldChar w:fldCharType="begin"/>
      </w:r>
      <w:r>
        <w:rPr>
          <w:noProof/>
        </w:rPr>
        <w:instrText xml:space="preserve"> PAGEREF _Toc138409950 \h </w:instrText>
      </w:r>
      <w:r>
        <w:rPr>
          <w:noProof/>
        </w:rPr>
      </w:r>
      <w:r>
        <w:rPr>
          <w:noProof/>
        </w:rPr>
        <w:fldChar w:fldCharType="separate"/>
      </w:r>
      <w:r w:rsidR="00BE208D">
        <w:rPr>
          <w:noProof/>
        </w:rPr>
        <w:t>46</w:t>
      </w:r>
      <w:r>
        <w:rPr>
          <w:noProof/>
        </w:rPr>
        <w:fldChar w:fldCharType="end"/>
      </w:r>
    </w:p>
    <w:p w14:paraId="551EECD3" w14:textId="632E0EBC"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28: Percentage of Aotearoa New Zealand population not enrolled in a PHO, by age group and gender, 2022</w:t>
      </w:r>
      <w:r>
        <w:rPr>
          <w:noProof/>
        </w:rPr>
        <w:tab/>
      </w:r>
      <w:r>
        <w:rPr>
          <w:noProof/>
        </w:rPr>
        <w:fldChar w:fldCharType="begin"/>
      </w:r>
      <w:r>
        <w:rPr>
          <w:noProof/>
        </w:rPr>
        <w:instrText xml:space="preserve"> PAGEREF _Toc138409951 \h </w:instrText>
      </w:r>
      <w:r>
        <w:rPr>
          <w:noProof/>
        </w:rPr>
      </w:r>
      <w:r>
        <w:rPr>
          <w:noProof/>
        </w:rPr>
        <w:fldChar w:fldCharType="separate"/>
      </w:r>
      <w:r w:rsidR="00BE208D">
        <w:rPr>
          <w:noProof/>
        </w:rPr>
        <w:t>47</w:t>
      </w:r>
      <w:r>
        <w:rPr>
          <w:noProof/>
        </w:rPr>
        <w:fldChar w:fldCharType="end"/>
      </w:r>
    </w:p>
    <w:p w14:paraId="1E7033AB" w14:textId="621FB397"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29: Level of trust in the health system, by ethnic group, 2021</w:t>
      </w:r>
      <w:r>
        <w:rPr>
          <w:noProof/>
        </w:rPr>
        <w:tab/>
      </w:r>
      <w:r>
        <w:rPr>
          <w:noProof/>
        </w:rPr>
        <w:fldChar w:fldCharType="begin"/>
      </w:r>
      <w:r>
        <w:rPr>
          <w:noProof/>
        </w:rPr>
        <w:instrText xml:space="preserve"> PAGEREF _Toc138409952 \h </w:instrText>
      </w:r>
      <w:r>
        <w:rPr>
          <w:noProof/>
        </w:rPr>
      </w:r>
      <w:r>
        <w:rPr>
          <w:noProof/>
        </w:rPr>
        <w:fldChar w:fldCharType="separate"/>
      </w:r>
      <w:r w:rsidR="00BE208D">
        <w:rPr>
          <w:noProof/>
        </w:rPr>
        <w:t>50</w:t>
      </w:r>
      <w:r>
        <w:rPr>
          <w:noProof/>
        </w:rPr>
        <w:fldChar w:fldCharType="end"/>
      </w:r>
    </w:p>
    <w:p w14:paraId="517AF8DE" w14:textId="3E252DD0"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30: Childhood immunisation rates at milestone ages, by deprivation quintile (NZDep2018), 2014–2022</w:t>
      </w:r>
      <w:r>
        <w:rPr>
          <w:noProof/>
        </w:rPr>
        <w:tab/>
      </w:r>
      <w:r>
        <w:rPr>
          <w:noProof/>
        </w:rPr>
        <w:fldChar w:fldCharType="begin"/>
      </w:r>
      <w:r>
        <w:rPr>
          <w:noProof/>
        </w:rPr>
        <w:instrText xml:space="preserve"> PAGEREF _Toc138409953 \h </w:instrText>
      </w:r>
      <w:r>
        <w:rPr>
          <w:noProof/>
        </w:rPr>
      </w:r>
      <w:r>
        <w:rPr>
          <w:noProof/>
        </w:rPr>
        <w:fldChar w:fldCharType="separate"/>
      </w:r>
      <w:r w:rsidR="00BE208D">
        <w:rPr>
          <w:noProof/>
        </w:rPr>
        <w:t>51</w:t>
      </w:r>
      <w:r>
        <w:rPr>
          <w:noProof/>
        </w:rPr>
        <w:fldChar w:fldCharType="end"/>
      </w:r>
    </w:p>
    <w:p w14:paraId="75AA3D01" w14:textId="5449DB31"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31: Childhood immunisation rates at milestone ages, by ethnic group, 2014–2022</w:t>
      </w:r>
      <w:r>
        <w:rPr>
          <w:noProof/>
        </w:rPr>
        <w:tab/>
      </w:r>
      <w:r>
        <w:rPr>
          <w:noProof/>
        </w:rPr>
        <w:fldChar w:fldCharType="begin"/>
      </w:r>
      <w:r>
        <w:rPr>
          <w:noProof/>
        </w:rPr>
        <w:instrText xml:space="preserve"> PAGEREF _Toc138409954 \h </w:instrText>
      </w:r>
      <w:r>
        <w:rPr>
          <w:noProof/>
        </w:rPr>
      </w:r>
      <w:r>
        <w:rPr>
          <w:noProof/>
        </w:rPr>
        <w:fldChar w:fldCharType="separate"/>
      </w:r>
      <w:r w:rsidR="00BE208D">
        <w:rPr>
          <w:noProof/>
        </w:rPr>
        <w:t>52</w:t>
      </w:r>
      <w:r>
        <w:rPr>
          <w:noProof/>
        </w:rPr>
        <w:fldChar w:fldCharType="end"/>
      </w:r>
    </w:p>
    <w:p w14:paraId="1EF33FD5" w14:textId="0B085E45"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32: HPV immunisation coverage of 2009 birth cohort, by ethnic group, at 31 December 2022</w:t>
      </w:r>
      <w:r>
        <w:rPr>
          <w:noProof/>
        </w:rPr>
        <w:tab/>
      </w:r>
      <w:r>
        <w:rPr>
          <w:noProof/>
        </w:rPr>
        <w:fldChar w:fldCharType="begin"/>
      </w:r>
      <w:r>
        <w:rPr>
          <w:noProof/>
        </w:rPr>
        <w:instrText xml:space="preserve"> PAGEREF _Toc138409955 \h </w:instrText>
      </w:r>
      <w:r>
        <w:rPr>
          <w:noProof/>
        </w:rPr>
      </w:r>
      <w:r>
        <w:rPr>
          <w:noProof/>
        </w:rPr>
        <w:fldChar w:fldCharType="separate"/>
      </w:r>
      <w:r w:rsidR="00BE208D">
        <w:rPr>
          <w:noProof/>
        </w:rPr>
        <w:t>53</w:t>
      </w:r>
      <w:r>
        <w:rPr>
          <w:noProof/>
        </w:rPr>
        <w:fldChar w:fldCharType="end"/>
      </w:r>
    </w:p>
    <w:p w14:paraId="74E49A94" w14:textId="580809C0"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33: Two-year breast screening coverage, women aged 45–69 years, by ethnic group, 2010–2022</w:t>
      </w:r>
      <w:r>
        <w:rPr>
          <w:noProof/>
        </w:rPr>
        <w:tab/>
      </w:r>
      <w:r>
        <w:rPr>
          <w:noProof/>
        </w:rPr>
        <w:fldChar w:fldCharType="begin"/>
      </w:r>
      <w:r>
        <w:rPr>
          <w:noProof/>
        </w:rPr>
        <w:instrText xml:space="preserve"> PAGEREF _Toc138409956 \h </w:instrText>
      </w:r>
      <w:r>
        <w:rPr>
          <w:noProof/>
        </w:rPr>
      </w:r>
      <w:r>
        <w:rPr>
          <w:noProof/>
        </w:rPr>
        <w:fldChar w:fldCharType="separate"/>
      </w:r>
      <w:r w:rsidR="00BE208D">
        <w:rPr>
          <w:noProof/>
        </w:rPr>
        <w:t>54</w:t>
      </w:r>
      <w:r>
        <w:rPr>
          <w:noProof/>
        </w:rPr>
        <w:fldChar w:fldCharType="end"/>
      </w:r>
    </w:p>
    <w:p w14:paraId="010B158F" w14:textId="6EB2D9C7"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34: Three-year cervical screening coverage, women aged 25–69 years, by ethnic group, 2008–2022</w:t>
      </w:r>
      <w:r>
        <w:rPr>
          <w:noProof/>
        </w:rPr>
        <w:tab/>
      </w:r>
      <w:r>
        <w:rPr>
          <w:noProof/>
        </w:rPr>
        <w:fldChar w:fldCharType="begin"/>
      </w:r>
      <w:r>
        <w:rPr>
          <w:noProof/>
        </w:rPr>
        <w:instrText xml:space="preserve"> PAGEREF _Toc138409957 \h </w:instrText>
      </w:r>
      <w:r>
        <w:rPr>
          <w:noProof/>
        </w:rPr>
      </w:r>
      <w:r>
        <w:rPr>
          <w:noProof/>
        </w:rPr>
        <w:fldChar w:fldCharType="separate"/>
      </w:r>
      <w:r w:rsidR="00BE208D">
        <w:rPr>
          <w:noProof/>
        </w:rPr>
        <w:t>55</w:t>
      </w:r>
      <w:r>
        <w:rPr>
          <w:noProof/>
        </w:rPr>
        <w:fldChar w:fldCharType="end"/>
      </w:r>
    </w:p>
    <w:p w14:paraId="2146B0BE" w14:textId="2F7310C8"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35: Two-year bowel screening coverage, people aged 60–74 years, by ethnic group, 2018–2022</w:t>
      </w:r>
      <w:r>
        <w:rPr>
          <w:noProof/>
        </w:rPr>
        <w:tab/>
      </w:r>
      <w:r>
        <w:rPr>
          <w:noProof/>
        </w:rPr>
        <w:fldChar w:fldCharType="begin"/>
      </w:r>
      <w:r>
        <w:rPr>
          <w:noProof/>
        </w:rPr>
        <w:instrText xml:space="preserve"> PAGEREF _Toc138409958 \h </w:instrText>
      </w:r>
      <w:r>
        <w:rPr>
          <w:noProof/>
        </w:rPr>
      </w:r>
      <w:r>
        <w:rPr>
          <w:noProof/>
        </w:rPr>
        <w:fldChar w:fldCharType="separate"/>
      </w:r>
      <w:r w:rsidR="00BE208D">
        <w:rPr>
          <w:noProof/>
        </w:rPr>
        <w:t>56</w:t>
      </w:r>
      <w:r>
        <w:rPr>
          <w:noProof/>
        </w:rPr>
        <w:fldChar w:fldCharType="end"/>
      </w:r>
    </w:p>
    <w:p w14:paraId="2FF73FCB" w14:textId="794F5050"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 xml:space="preserve">Figure 36: </w:t>
      </w:r>
      <w:r w:rsidRPr="00537AF8">
        <w:rPr>
          <w:noProof/>
          <w:shd w:val="clear" w:color="auto" w:fill="FFFFFF"/>
        </w:rPr>
        <w:t>Ambulatory sensitive hospitalisation rates for children aged 0–4 years</w:t>
      </w:r>
      <w:r>
        <w:rPr>
          <w:noProof/>
        </w:rPr>
        <w:t>, by ethnic group, 2018–2022</w:t>
      </w:r>
      <w:r>
        <w:rPr>
          <w:noProof/>
        </w:rPr>
        <w:tab/>
      </w:r>
      <w:r>
        <w:rPr>
          <w:noProof/>
        </w:rPr>
        <w:fldChar w:fldCharType="begin"/>
      </w:r>
      <w:r>
        <w:rPr>
          <w:noProof/>
        </w:rPr>
        <w:instrText xml:space="preserve"> PAGEREF _Toc138409959 \h </w:instrText>
      </w:r>
      <w:r>
        <w:rPr>
          <w:noProof/>
        </w:rPr>
      </w:r>
      <w:r>
        <w:rPr>
          <w:noProof/>
        </w:rPr>
        <w:fldChar w:fldCharType="separate"/>
      </w:r>
      <w:r w:rsidR="00BE208D">
        <w:rPr>
          <w:noProof/>
        </w:rPr>
        <w:t>57</w:t>
      </w:r>
      <w:r>
        <w:rPr>
          <w:noProof/>
        </w:rPr>
        <w:fldChar w:fldCharType="end"/>
      </w:r>
    </w:p>
    <w:p w14:paraId="3B571AC3" w14:textId="2692F581"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 xml:space="preserve">Figure 37: </w:t>
      </w:r>
      <w:r w:rsidRPr="00537AF8">
        <w:rPr>
          <w:noProof/>
          <w:shd w:val="clear" w:color="auto" w:fill="FFFFFF"/>
        </w:rPr>
        <w:t xml:space="preserve">Ambulatory sensitive hospitalisation rates for adults aged </w:t>
      </w:r>
      <w:r>
        <w:rPr>
          <w:noProof/>
        </w:rPr>
        <w:t>45–64 years, by ethnic group, 2018–2022</w:t>
      </w:r>
      <w:r>
        <w:rPr>
          <w:noProof/>
        </w:rPr>
        <w:tab/>
      </w:r>
      <w:r>
        <w:rPr>
          <w:noProof/>
        </w:rPr>
        <w:fldChar w:fldCharType="begin"/>
      </w:r>
      <w:r>
        <w:rPr>
          <w:noProof/>
        </w:rPr>
        <w:instrText xml:space="preserve"> PAGEREF _Toc138409960 \h </w:instrText>
      </w:r>
      <w:r>
        <w:rPr>
          <w:noProof/>
        </w:rPr>
      </w:r>
      <w:r>
        <w:rPr>
          <w:noProof/>
        </w:rPr>
        <w:fldChar w:fldCharType="separate"/>
      </w:r>
      <w:r w:rsidR="00BE208D">
        <w:rPr>
          <w:noProof/>
        </w:rPr>
        <w:t>58</w:t>
      </w:r>
      <w:r>
        <w:rPr>
          <w:noProof/>
        </w:rPr>
        <w:fldChar w:fldCharType="end"/>
      </w:r>
    </w:p>
    <w:p w14:paraId="17AA7C07" w14:textId="4B835104"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38: Proportion of patients who waited longer than 4 months for assessment or planned treatment/surgery, January 2020 – December 2022</w:t>
      </w:r>
      <w:r>
        <w:rPr>
          <w:noProof/>
        </w:rPr>
        <w:tab/>
      </w:r>
      <w:r>
        <w:rPr>
          <w:noProof/>
        </w:rPr>
        <w:fldChar w:fldCharType="begin"/>
      </w:r>
      <w:r>
        <w:rPr>
          <w:noProof/>
        </w:rPr>
        <w:instrText xml:space="preserve"> PAGEREF _Toc138409961 \h </w:instrText>
      </w:r>
      <w:r>
        <w:rPr>
          <w:noProof/>
        </w:rPr>
      </w:r>
      <w:r>
        <w:rPr>
          <w:noProof/>
        </w:rPr>
        <w:fldChar w:fldCharType="separate"/>
      </w:r>
      <w:r w:rsidR="00BE208D">
        <w:rPr>
          <w:noProof/>
        </w:rPr>
        <w:t>59</w:t>
      </w:r>
      <w:r>
        <w:rPr>
          <w:noProof/>
        </w:rPr>
        <w:fldChar w:fldCharType="end"/>
      </w:r>
    </w:p>
    <w:p w14:paraId="0264D7C9" w14:textId="1BC05A3A"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39: Number of inpatient surgical treatment and minor procedures (planned care interventions), 2018–2022</w:t>
      </w:r>
      <w:r>
        <w:rPr>
          <w:noProof/>
        </w:rPr>
        <w:tab/>
      </w:r>
      <w:r>
        <w:rPr>
          <w:noProof/>
        </w:rPr>
        <w:fldChar w:fldCharType="begin"/>
      </w:r>
      <w:r>
        <w:rPr>
          <w:noProof/>
        </w:rPr>
        <w:instrText xml:space="preserve"> PAGEREF _Toc138409962 \h </w:instrText>
      </w:r>
      <w:r>
        <w:rPr>
          <w:noProof/>
        </w:rPr>
      </w:r>
      <w:r>
        <w:rPr>
          <w:noProof/>
        </w:rPr>
        <w:fldChar w:fldCharType="separate"/>
      </w:r>
      <w:r w:rsidR="00BE208D">
        <w:rPr>
          <w:noProof/>
        </w:rPr>
        <w:t>59</w:t>
      </w:r>
      <w:r>
        <w:rPr>
          <w:noProof/>
        </w:rPr>
        <w:fldChar w:fldCharType="end"/>
      </w:r>
    </w:p>
    <w:p w14:paraId="71B6F92E" w14:textId="15D25583"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40: Number of COVID-19 cases, daily and 7-day rolling average, January to December 2022</w:t>
      </w:r>
      <w:r>
        <w:rPr>
          <w:noProof/>
        </w:rPr>
        <w:tab/>
      </w:r>
      <w:r>
        <w:rPr>
          <w:noProof/>
        </w:rPr>
        <w:fldChar w:fldCharType="begin"/>
      </w:r>
      <w:r>
        <w:rPr>
          <w:noProof/>
        </w:rPr>
        <w:instrText xml:space="preserve"> PAGEREF _Toc138409963 \h </w:instrText>
      </w:r>
      <w:r>
        <w:rPr>
          <w:noProof/>
        </w:rPr>
      </w:r>
      <w:r>
        <w:rPr>
          <w:noProof/>
        </w:rPr>
        <w:fldChar w:fldCharType="separate"/>
      </w:r>
      <w:r w:rsidR="00BE208D">
        <w:rPr>
          <w:noProof/>
        </w:rPr>
        <w:t>63</w:t>
      </w:r>
      <w:r>
        <w:rPr>
          <w:noProof/>
        </w:rPr>
        <w:fldChar w:fldCharType="end"/>
      </w:r>
    </w:p>
    <w:p w14:paraId="13825EA4" w14:textId="18017F79"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41: Number of hospital admissions for COVID-19, daily and 7-day rolling average, January to December 2022</w:t>
      </w:r>
      <w:r>
        <w:rPr>
          <w:noProof/>
        </w:rPr>
        <w:tab/>
      </w:r>
      <w:r>
        <w:rPr>
          <w:noProof/>
        </w:rPr>
        <w:fldChar w:fldCharType="begin"/>
      </w:r>
      <w:r>
        <w:rPr>
          <w:noProof/>
        </w:rPr>
        <w:instrText xml:space="preserve"> PAGEREF _Toc138409964 \h </w:instrText>
      </w:r>
      <w:r>
        <w:rPr>
          <w:noProof/>
        </w:rPr>
      </w:r>
      <w:r>
        <w:rPr>
          <w:noProof/>
        </w:rPr>
        <w:fldChar w:fldCharType="separate"/>
      </w:r>
      <w:r w:rsidR="00BE208D">
        <w:rPr>
          <w:noProof/>
        </w:rPr>
        <w:t>64</w:t>
      </w:r>
      <w:r>
        <w:rPr>
          <w:noProof/>
        </w:rPr>
        <w:fldChar w:fldCharType="end"/>
      </w:r>
    </w:p>
    <w:p w14:paraId="0B75669D" w14:textId="3DD8CC41"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42: Number of COVID-19 deaths, daily and 7-day rolling average, January to December 2022</w:t>
      </w:r>
      <w:r>
        <w:rPr>
          <w:noProof/>
        </w:rPr>
        <w:tab/>
      </w:r>
      <w:r>
        <w:rPr>
          <w:noProof/>
        </w:rPr>
        <w:fldChar w:fldCharType="begin"/>
      </w:r>
      <w:r>
        <w:rPr>
          <w:noProof/>
        </w:rPr>
        <w:instrText xml:space="preserve"> PAGEREF _Toc138409965 \h </w:instrText>
      </w:r>
      <w:r>
        <w:rPr>
          <w:noProof/>
        </w:rPr>
      </w:r>
      <w:r>
        <w:rPr>
          <w:noProof/>
        </w:rPr>
        <w:fldChar w:fldCharType="separate"/>
      </w:r>
      <w:r w:rsidR="00BE208D">
        <w:rPr>
          <w:noProof/>
        </w:rPr>
        <w:t>65</w:t>
      </w:r>
      <w:r>
        <w:rPr>
          <w:noProof/>
        </w:rPr>
        <w:fldChar w:fldCharType="end"/>
      </w:r>
    </w:p>
    <w:p w14:paraId="31EE4EE2" w14:textId="1FBC2D5D"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lastRenderedPageBreak/>
        <w:t>Figure 43: Rate of daily COVID-19 cases per 100,000 population, by ethnic group, 2022</w:t>
      </w:r>
      <w:r>
        <w:rPr>
          <w:noProof/>
        </w:rPr>
        <w:tab/>
      </w:r>
      <w:r>
        <w:rPr>
          <w:noProof/>
        </w:rPr>
        <w:fldChar w:fldCharType="begin"/>
      </w:r>
      <w:r>
        <w:rPr>
          <w:noProof/>
        </w:rPr>
        <w:instrText xml:space="preserve"> PAGEREF _Toc138409966 \h </w:instrText>
      </w:r>
      <w:r>
        <w:rPr>
          <w:noProof/>
        </w:rPr>
      </w:r>
      <w:r>
        <w:rPr>
          <w:noProof/>
        </w:rPr>
        <w:fldChar w:fldCharType="separate"/>
      </w:r>
      <w:r w:rsidR="00BE208D">
        <w:rPr>
          <w:noProof/>
        </w:rPr>
        <w:t>66</w:t>
      </w:r>
      <w:r>
        <w:rPr>
          <w:noProof/>
        </w:rPr>
        <w:fldChar w:fldCharType="end"/>
      </w:r>
    </w:p>
    <w:p w14:paraId="1E54F045" w14:textId="579FF1F4"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44: Rate of COVID-19 hospital admissions per 100,000 population, by ethnic group, 2022</w:t>
      </w:r>
      <w:r>
        <w:rPr>
          <w:noProof/>
        </w:rPr>
        <w:tab/>
      </w:r>
      <w:r>
        <w:rPr>
          <w:noProof/>
        </w:rPr>
        <w:fldChar w:fldCharType="begin"/>
      </w:r>
      <w:r>
        <w:rPr>
          <w:noProof/>
        </w:rPr>
        <w:instrText xml:space="preserve"> PAGEREF _Toc138409967 \h </w:instrText>
      </w:r>
      <w:r>
        <w:rPr>
          <w:noProof/>
        </w:rPr>
      </w:r>
      <w:r>
        <w:rPr>
          <w:noProof/>
        </w:rPr>
        <w:fldChar w:fldCharType="separate"/>
      </w:r>
      <w:r w:rsidR="00BE208D">
        <w:rPr>
          <w:noProof/>
        </w:rPr>
        <w:t>66</w:t>
      </w:r>
      <w:r>
        <w:rPr>
          <w:noProof/>
        </w:rPr>
        <w:fldChar w:fldCharType="end"/>
      </w:r>
    </w:p>
    <w:p w14:paraId="3B925B70" w14:textId="02CE75AB"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45: Rate of COVID-19 deaths per 100,000 population, by ethnic group, 2022</w:t>
      </w:r>
      <w:r>
        <w:rPr>
          <w:noProof/>
        </w:rPr>
        <w:tab/>
      </w:r>
      <w:r>
        <w:rPr>
          <w:noProof/>
        </w:rPr>
        <w:fldChar w:fldCharType="begin"/>
      </w:r>
      <w:r>
        <w:rPr>
          <w:noProof/>
        </w:rPr>
        <w:instrText xml:space="preserve"> PAGEREF _Toc138409968 \h </w:instrText>
      </w:r>
      <w:r>
        <w:rPr>
          <w:noProof/>
        </w:rPr>
      </w:r>
      <w:r>
        <w:rPr>
          <w:noProof/>
        </w:rPr>
        <w:fldChar w:fldCharType="separate"/>
      </w:r>
      <w:r w:rsidR="00BE208D">
        <w:rPr>
          <w:noProof/>
        </w:rPr>
        <w:t>67</w:t>
      </w:r>
      <w:r>
        <w:rPr>
          <w:noProof/>
        </w:rPr>
        <w:fldChar w:fldCharType="end"/>
      </w:r>
    </w:p>
    <w:p w14:paraId="78CA9F64" w14:textId="155DF1EE"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46: Rate of daily COVID-19 cases per 100,000 population, by age group, 2022</w:t>
      </w:r>
      <w:r>
        <w:rPr>
          <w:noProof/>
        </w:rPr>
        <w:tab/>
      </w:r>
      <w:r>
        <w:rPr>
          <w:noProof/>
        </w:rPr>
        <w:fldChar w:fldCharType="begin"/>
      </w:r>
      <w:r>
        <w:rPr>
          <w:noProof/>
        </w:rPr>
        <w:instrText xml:space="preserve"> PAGEREF _Toc138409969 \h </w:instrText>
      </w:r>
      <w:r>
        <w:rPr>
          <w:noProof/>
        </w:rPr>
      </w:r>
      <w:r>
        <w:rPr>
          <w:noProof/>
        </w:rPr>
        <w:fldChar w:fldCharType="separate"/>
      </w:r>
      <w:r w:rsidR="00BE208D">
        <w:rPr>
          <w:noProof/>
        </w:rPr>
        <w:t>68</w:t>
      </w:r>
      <w:r>
        <w:rPr>
          <w:noProof/>
        </w:rPr>
        <w:fldChar w:fldCharType="end"/>
      </w:r>
    </w:p>
    <w:p w14:paraId="1051B904" w14:textId="1B5C5E0F"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47: Rate of COVID-19 hospital admissions per 100,000 population, by age group, 2022</w:t>
      </w:r>
      <w:r>
        <w:rPr>
          <w:noProof/>
        </w:rPr>
        <w:tab/>
      </w:r>
      <w:r>
        <w:rPr>
          <w:noProof/>
        </w:rPr>
        <w:fldChar w:fldCharType="begin"/>
      </w:r>
      <w:r>
        <w:rPr>
          <w:noProof/>
        </w:rPr>
        <w:instrText xml:space="preserve"> PAGEREF _Toc138409970 \h </w:instrText>
      </w:r>
      <w:r>
        <w:rPr>
          <w:noProof/>
        </w:rPr>
      </w:r>
      <w:r>
        <w:rPr>
          <w:noProof/>
        </w:rPr>
        <w:fldChar w:fldCharType="separate"/>
      </w:r>
      <w:r w:rsidR="00BE208D">
        <w:rPr>
          <w:noProof/>
        </w:rPr>
        <w:t>69</w:t>
      </w:r>
      <w:r>
        <w:rPr>
          <w:noProof/>
        </w:rPr>
        <w:fldChar w:fldCharType="end"/>
      </w:r>
    </w:p>
    <w:p w14:paraId="2A338155" w14:textId="787E565C"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48: Rate of COVID-19 deaths per 100,000 population, by age group (under 60 years, 60–69, 70–79, 80 and over), 2022</w:t>
      </w:r>
      <w:r>
        <w:rPr>
          <w:noProof/>
        </w:rPr>
        <w:tab/>
      </w:r>
      <w:r>
        <w:rPr>
          <w:noProof/>
        </w:rPr>
        <w:fldChar w:fldCharType="begin"/>
      </w:r>
      <w:r>
        <w:rPr>
          <w:noProof/>
        </w:rPr>
        <w:instrText xml:space="preserve"> PAGEREF _Toc138409971 \h </w:instrText>
      </w:r>
      <w:r>
        <w:rPr>
          <w:noProof/>
        </w:rPr>
      </w:r>
      <w:r>
        <w:rPr>
          <w:noProof/>
        </w:rPr>
        <w:fldChar w:fldCharType="separate"/>
      </w:r>
      <w:r w:rsidR="00BE208D">
        <w:rPr>
          <w:noProof/>
        </w:rPr>
        <w:t>69</w:t>
      </w:r>
      <w:r>
        <w:rPr>
          <w:noProof/>
        </w:rPr>
        <w:fldChar w:fldCharType="end"/>
      </w:r>
    </w:p>
    <w:p w14:paraId="14F55A2C" w14:textId="75C79514"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49: Percentage of COVID-19 infections and reinfections, by age group, 2022</w:t>
      </w:r>
      <w:r>
        <w:rPr>
          <w:noProof/>
        </w:rPr>
        <w:tab/>
      </w:r>
      <w:r>
        <w:rPr>
          <w:noProof/>
        </w:rPr>
        <w:fldChar w:fldCharType="begin"/>
      </w:r>
      <w:r>
        <w:rPr>
          <w:noProof/>
        </w:rPr>
        <w:instrText xml:space="preserve"> PAGEREF _Toc138409972 \h </w:instrText>
      </w:r>
      <w:r>
        <w:rPr>
          <w:noProof/>
        </w:rPr>
      </w:r>
      <w:r>
        <w:rPr>
          <w:noProof/>
        </w:rPr>
        <w:fldChar w:fldCharType="separate"/>
      </w:r>
      <w:r w:rsidR="00BE208D">
        <w:rPr>
          <w:noProof/>
        </w:rPr>
        <w:t>70</w:t>
      </w:r>
      <w:r>
        <w:rPr>
          <w:noProof/>
        </w:rPr>
        <w:fldChar w:fldCharType="end"/>
      </w:r>
    </w:p>
    <w:p w14:paraId="2390F79E" w14:textId="49EE3669"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50: COVID-19 vaccination status, by ethnic group, as at 31 December 2022</w:t>
      </w:r>
      <w:r>
        <w:rPr>
          <w:noProof/>
        </w:rPr>
        <w:tab/>
      </w:r>
      <w:r>
        <w:rPr>
          <w:noProof/>
        </w:rPr>
        <w:fldChar w:fldCharType="begin"/>
      </w:r>
      <w:r>
        <w:rPr>
          <w:noProof/>
        </w:rPr>
        <w:instrText xml:space="preserve"> PAGEREF _Toc138409973 \h </w:instrText>
      </w:r>
      <w:r>
        <w:rPr>
          <w:noProof/>
        </w:rPr>
      </w:r>
      <w:r>
        <w:rPr>
          <w:noProof/>
        </w:rPr>
        <w:fldChar w:fldCharType="separate"/>
      </w:r>
      <w:r w:rsidR="00BE208D">
        <w:rPr>
          <w:noProof/>
        </w:rPr>
        <w:t>71</w:t>
      </w:r>
      <w:r>
        <w:rPr>
          <w:noProof/>
        </w:rPr>
        <w:fldChar w:fldCharType="end"/>
      </w:r>
    </w:p>
    <w:p w14:paraId="0B7833A1" w14:textId="68EC2172"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51: COVID-19 vaccination status, by age group, as at 31 December 2022</w:t>
      </w:r>
      <w:r>
        <w:rPr>
          <w:noProof/>
        </w:rPr>
        <w:tab/>
      </w:r>
      <w:r>
        <w:rPr>
          <w:noProof/>
        </w:rPr>
        <w:fldChar w:fldCharType="begin"/>
      </w:r>
      <w:r>
        <w:rPr>
          <w:noProof/>
        </w:rPr>
        <w:instrText xml:space="preserve"> PAGEREF _Toc138409974 \h </w:instrText>
      </w:r>
      <w:r>
        <w:rPr>
          <w:noProof/>
        </w:rPr>
      </w:r>
      <w:r>
        <w:rPr>
          <w:noProof/>
        </w:rPr>
        <w:fldChar w:fldCharType="separate"/>
      </w:r>
      <w:r w:rsidR="00BE208D">
        <w:rPr>
          <w:noProof/>
        </w:rPr>
        <w:t>71</w:t>
      </w:r>
      <w:r>
        <w:rPr>
          <w:noProof/>
        </w:rPr>
        <w:fldChar w:fldCharType="end"/>
      </w:r>
    </w:p>
    <w:p w14:paraId="1D61690E" w14:textId="3F85F97F"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52: Health Survey data, 3-year pooled periods</w:t>
      </w:r>
      <w:r>
        <w:rPr>
          <w:noProof/>
        </w:rPr>
        <w:tab/>
      </w:r>
      <w:r>
        <w:rPr>
          <w:noProof/>
        </w:rPr>
        <w:fldChar w:fldCharType="begin"/>
      </w:r>
      <w:r>
        <w:rPr>
          <w:noProof/>
        </w:rPr>
        <w:instrText xml:space="preserve"> PAGEREF _Toc138409975 \h </w:instrText>
      </w:r>
      <w:r>
        <w:rPr>
          <w:noProof/>
        </w:rPr>
      </w:r>
      <w:r>
        <w:rPr>
          <w:noProof/>
        </w:rPr>
        <w:fldChar w:fldCharType="separate"/>
      </w:r>
      <w:r w:rsidR="00BE208D">
        <w:rPr>
          <w:noProof/>
        </w:rPr>
        <w:t>73</w:t>
      </w:r>
      <w:r>
        <w:rPr>
          <w:noProof/>
        </w:rPr>
        <w:fldChar w:fldCharType="end"/>
      </w:r>
    </w:p>
    <w:p w14:paraId="3D07EF17" w14:textId="3F133EEF"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Figure 53: Example of trends in daily smoking, based on 3-year pooled data and single survey year data</w:t>
      </w:r>
      <w:r>
        <w:rPr>
          <w:noProof/>
        </w:rPr>
        <w:tab/>
      </w:r>
      <w:r>
        <w:rPr>
          <w:noProof/>
        </w:rPr>
        <w:fldChar w:fldCharType="begin"/>
      </w:r>
      <w:r>
        <w:rPr>
          <w:noProof/>
        </w:rPr>
        <w:instrText xml:space="preserve"> PAGEREF _Toc138409976 \h </w:instrText>
      </w:r>
      <w:r>
        <w:rPr>
          <w:noProof/>
        </w:rPr>
      </w:r>
      <w:r>
        <w:rPr>
          <w:noProof/>
        </w:rPr>
        <w:fldChar w:fldCharType="separate"/>
      </w:r>
      <w:r w:rsidR="00BE208D">
        <w:rPr>
          <w:noProof/>
        </w:rPr>
        <w:t>74</w:t>
      </w:r>
      <w:r>
        <w:rPr>
          <w:noProof/>
        </w:rPr>
        <w:fldChar w:fldCharType="end"/>
      </w:r>
    </w:p>
    <w:p w14:paraId="0D248541" w14:textId="2213E796" w:rsidR="002B76A7" w:rsidRDefault="003A5FEA" w:rsidP="009D7A76">
      <w:pPr>
        <w:pStyle w:val="TOC1"/>
      </w:pPr>
      <w:r>
        <w:fldChar w:fldCharType="end"/>
      </w:r>
      <w:r w:rsidR="002B76A7">
        <w:t>List of Tables</w:t>
      </w:r>
    </w:p>
    <w:p w14:paraId="3E8601F3" w14:textId="339E0829" w:rsidR="00D079D8" w:rsidRDefault="002B76A7" w:rsidP="00D079D8">
      <w:pPr>
        <w:pStyle w:val="TOC3"/>
        <w:ind w:left="0" w:firstLine="0"/>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D079D8">
        <w:rPr>
          <w:noProof/>
        </w:rPr>
        <w:t xml:space="preserve">Table 1: </w:t>
      </w:r>
      <w:r w:rsidR="00D079D8" w:rsidRPr="001F703E">
        <w:rPr>
          <w:rFonts w:eastAsia="Arial Unicode MS"/>
          <w:noProof/>
        </w:rPr>
        <w:t>Examples of inequity for Māori, Pacific peoples and disabled people compared with the total population</w:t>
      </w:r>
      <w:r w:rsidR="00D079D8">
        <w:rPr>
          <w:noProof/>
        </w:rPr>
        <w:tab/>
      </w:r>
      <w:r w:rsidR="00D079D8">
        <w:rPr>
          <w:noProof/>
        </w:rPr>
        <w:fldChar w:fldCharType="begin"/>
      </w:r>
      <w:r w:rsidR="00D079D8">
        <w:rPr>
          <w:noProof/>
        </w:rPr>
        <w:instrText xml:space="preserve"> PAGEREF _Toc138409977 \h </w:instrText>
      </w:r>
      <w:r w:rsidR="00D079D8">
        <w:rPr>
          <w:noProof/>
        </w:rPr>
      </w:r>
      <w:r w:rsidR="00D079D8">
        <w:rPr>
          <w:noProof/>
        </w:rPr>
        <w:fldChar w:fldCharType="separate"/>
      </w:r>
      <w:r w:rsidR="00BE208D">
        <w:rPr>
          <w:noProof/>
        </w:rPr>
        <w:t>4</w:t>
      </w:r>
      <w:r w:rsidR="00D079D8">
        <w:rPr>
          <w:noProof/>
        </w:rPr>
        <w:fldChar w:fldCharType="end"/>
      </w:r>
    </w:p>
    <w:p w14:paraId="360593EE" w14:textId="6DA5AD21"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 xml:space="preserve">Table 2: </w:t>
      </w:r>
      <w:r w:rsidRPr="001F703E">
        <w:rPr>
          <w:rFonts w:eastAsia="Arial Unicode MS"/>
          <w:noProof/>
        </w:rPr>
        <w:t>Number and rate of deaths, Māori and non-Māori and by gender, 2020</w:t>
      </w:r>
      <w:r>
        <w:rPr>
          <w:noProof/>
        </w:rPr>
        <w:tab/>
      </w:r>
      <w:r>
        <w:rPr>
          <w:noProof/>
        </w:rPr>
        <w:fldChar w:fldCharType="begin"/>
      </w:r>
      <w:r>
        <w:rPr>
          <w:noProof/>
        </w:rPr>
        <w:instrText xml:space="preserve"> PAGEREF _Toc138409978 \h </w:instrText>
      </w:r>
      <w:r>
        <w:rPr>
          <w:noProof/>
        </w:rPr>
      </w:r>
      <w:r>
        <w:rPr>
          <w:noProof/>
        </w:rPr>
        <w:fldChar w:fldCharType="separate"/>
      </w:r>
      <w:r w:rsidR="00BE208D">
        <w:rPr>
          <w:noProof/>
        </w:rPr>
        <w:t>16</w:t>
      </w:r>
      <w:r>
        <w:rPr>
          <w:noProof/>
        </w:rPr>
        <w:fldChar w:fldCharType="end"/>
      </w:r>
    </w:p>
    <w:p w14:paraId="0F08E456" w14:textId="1510CB73"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3: Health and life expectancy, by gender, 1990–1999, 2000–2009 and 2010–2019</w:t>
      </w:r>
      <w:r>
        <w:rPr>
          <w:noProof/>
        </w:rPr>
        <w:tab/>
      </w:r>
      <w:r>
        <w:rPr>
          <w:noProof/>
        </w:rPr>
        <w:fldChar w:fldCharType="begin"/>
      </w:r>
      <w:r>
        <w:rPr>
          <w:noProof/>
        </w:rPr>
        <w:instrText xml:space="preserve"> PAGEREF _Toc138409979 \h </w:instrText>
      </w:r>
      <w:r>
        <w:rPr>
          <w:noProof/>
        </w:rPr>
      </w:r>
      <w:r>
        <w:rPr>
          <w:noProof/>
        </w:rPr>
        <w:fldChar w:fldCharType="separate"/>
      </w:r>
      <w:r w:rsidR="00BE208D">
        <w:rPr>
          <w:noProof/>
        </w:rPr>
        <w:t>18</w:t>
      </w:r>
      <w:r>
        <w:rPr>
          <w:noProof/>
        </w:rPr>
        <w:fldChar w:fldCharType="end"/>
      </w:r>
    </w:p>
    <w:p w14:paraId="632C66AC" w14:textId="4E2246E5"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4: Percentage of high or very high family wellbeing, and high or very high life satisfaction, by population group, 2021/22</w:t>
      </w:r>
      <w:r>
        <w:rPr>
          <w:noProof/>
        </w:rPr>
        <w:tab/>
      </w:r>
      <w:r>
        <w:rPr>
          <w:noProof/>
        </w:rPr>
        <w:fldChar w:fldCharType="begin"/>
      </w:r>
      <w:r>
        <w:rPr>
          <w:noProof/>
        </w:rPr>
        <w:instrText xml:space="preserve"> PAGEREF _Toc138409980 \h </w:instrText>
      </w:r>
      <w:r>
        <w:rPr>
          <w:noProof/>
        </w:rPr>
      </w:r>
      <w:r>
        <w:rPr>
          <w:noProof/>
        </w:rPr>
        <w:fldChar w:fldCharType="separate"/>
      </w:r>
      <w:r w:rsidR="00BE208D">
        <w:rPr>
          <w:noProof/>
        </w:rPr>
        <w:t>29</w:t>
      </w:r>
      <w:r>
        <w:rPr>
          <w:noProof/>
        </w:rPr>
        <w:fldChar w:fldCharType="end"/>
      </w:r>
    </w:p>
    <w:p w14:paraId="396BAD80" w14:textId="5AB10A85"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5: Percentage of children living in poverty or material hardship, by population group, year ending June 2022</w:t>
      </w:r>
      <w:r>
        <w:rPr>
          <w:noProof/>
        </w:rPr>
        <w:tab/>
      </w:r>
      <w:r>
        <w:rPr>
          <w:noProof/>
        </w:rPr>
        <w:fldChar w:fldCharType="begin"/>
      </w:r>
      <w:r>
        <w:rPr>
          <w:noProof/>
        </w:rPr>
        <w:instrText xml:space="preserve"> PAGEREF _Toc138409981 \h </w:instrText>
      </w:r>
      <w:r>
        <w:rPr>
          <w:noProof/>
        </w:rPr>
      </w:r>
      <w:r>
        <w:rPr>
          <w:noProof/>
        </w:rPr>
        <w:fldChar w:fldCharType="separate"/>
      </w:r>
      <w:r w:rsidR="00BE208D">
        <w:rPr>
          <w:noProof/>
        </w:rPr>
        <w:t>36</w:t>
      </w:r>
      <w:r>
        <w:rPr>
          <w:noProof/>
        </w:rPr>
        <w:fldChar w:fldCharType="end"/>
      </w:r>
    </w:p>
    <w:p w14:paraId="72EBD93E" w14:textId="33676E32"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6: Percentage of adults consuming the recommended daily amount of fruit and vegetables, by population group, 2021/22</w:t>
      </w:r>
      <w:r>
        <w:rPr>
          <w:noProof/>
        </w:rPr>
        <w:tab/>
      </w:r>
      <w:r>
        <w:rPr>
          <w:noProof/>
        </w:rPr>
        <w:fldChar w:fldCharType="begin"/>
      </w:r>
      <w:r>
        <w:rPr>
          <w:noProof/>
        </w:rPr>
        <w:instrText xml:space="preserve"> PAGEREF _Toc138409982 \h </w:instrText>
      </w:r>
      <w:r>
        <w:rPr>
          <w:noProof/>
        </w:rPr>
      </w:r>
      <w:r>
        <w:rPr>
          <w:noProof/>
        </w:rPr>
        <w:fldChar w:fldCharType="separate"/>
      </w:r>
      <w:r w:rsidR="00BE208D">
        <w:rPr>
          <w:noProof/>
        </w:rPr>
        <w:t>43</w:t>
      </w:r>
      <w:r>
        <w:rPr>
          <w:noProof/>
        </w:rPr>
        <w:fldChar w:fldCharType="end"/>
      </w:r>
    </w:p>
    <w:p w14:paraId="5CFA263E" w14:textId="3EF544AB"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7: Percentage of adults facing cost-related barriers to accessing primary health care (in the past 12 months), by population group, 3-year pooled period ending 2021/22</w:t>
      </w:r>
      <w:r>
        <w:rPr>
          <w:noProof/>
        </w:rPr>
        <w:tab/>
      </w:r>
      <w:r>
        <w:rPr>
          <w:noProof/>
        </w:rPr>
        <w:fldChar w:fldCharType="begin"/>
      </w:r>
      <w:r>
        <w:rPr>
          <w:noProof/>
        </w:rPr>
        <w:instrText xml:space="preserve"> PAGEREF _Toc138409983 \h </w:instrText>
      </w:r>
      <w:r>
        <w:rPr>
          <w:noProof/>
        </w:rPr>
      </w:r>
      <w:r>
        <w:rPr>
          <w:noProof/>
        </w:rPr>
        <w:fldChar w:fldCharType="separate"/>
      </w:r>
      <w:r w:rsidR="00BE208D">
        <w:rPr>
          <w:noProof/>
        </w:rPr>
        <w:t>48</w:t>
      </w:r>
      <w:r>
        <w:rPr>
          <w:noProof/>
        </w:rPr>
        <w:fldChar w:fldCharType="end"/>
      </w:r>
    </w:p>
    <w:p w14:paraId="039A0925" w14:textId="6AAEB622"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8: Percentage of adults facing other barriers to accessing primary health care, by population group, 2021/22</w:t>
      </w:r>
      <w:r>
        <w:rPr>
          <w:noProof/>
        </w:rPr>
        <w:tab/>
      </w:r>
      <w:r>
        <w:rPr>
          <w:noProof/>
        </w:rPr>
        <w:fldChar w:fldCharType="begin"/>
      </w:r>
      <w:r>
        <w:rPr>
          <w:noProof/>
        </w:rPr>
        <w:instrText xml:space="preserve"> PAGEREF _Toc138409984 \h </w:instrText>
      </w:r>
      <w:r>
        <w:rPr>
          <w:noProof/>
        </w:rPr>
      </w:r>
      <w:r>
        <w:rPr>
          <w:noProof/>
        </w:rPr>
        <w:fldChar w:fldCharType="separate"/>
      </w:r>
      <w:r w:rsidR="00BE208D">
        <w:rPr>
          <w:noProof/>
        </w:rPr>
        <w:t>49</w:t>
      </w:r>
      <w:r>
        <w:rPr>
          <w:noProof/>
        </w:rPr>
        <w:fldChar w:fldCharType="end"/>
      </w:r>
    </w:p>
    <w:p w14:paraId="475D8424" w14:textId="28122B4E" w:rsidR="00D079D8" w:rsidRDefault="00D079D8" w:rsidP="00D079D8">
      <w:pPr>
        <w:pStyle w:val="TOC3"/>
        <w:ind w:left="0" w:firstLine="0"/>
        <w:rPr>
          <w:rFonts w:asciiTheme="minorHAnsi" w:eastAsiaTheme="minorEastAsia" w:hAnsiTheme="minorHAnsi" w:cstheme="minorBidi"/>
          <w:noProof/>
          <w:sz w:val="22"/>
          <w:szCs w:val="22"/>
          <w:lang w:val="en-AU" w:eastAsia="en-AU"/>
        </w:rPr>
      </w:pPr>
      <w:r>
        <w:rPr>
          <w:noProof/>
        </w:rPr>
        <w:t>Table 9: Percentage of children immunised at milestone ages, by ethnic group, 2022</w:t>
      </w:r>
      <w:r>
        <w:rPr>
          <w:noProof/>
        </w:rPr>
        <w:tab/>
      </w:r>
      <w:r>
        <w:rPr>
          <w:noProof/>
        </w:rPr>
        <w:fldChar w:fldCharType="begin"/>
      </w:r>
      <w:r>
        <w:rPr>
          <w:noProof/>
        </w:rPr>
        <w:instrText xml:space="preserve"> PAGEREF _Toc138409985 \h </w:instrText>
      </w:r>
      <w:r>
        <w:rPr>
          <w:noProof/>
        </w:rPr>
      </w:r>
      <w:r>
        <w:rPr>
          <w:noProof/>
        </w:rPr>
        <w:fldChar w:fldCharType="separate"/>
      </w:r>
      <w:r w:rsidR="00BE208D">
        <w:rPr>
          <w:noProof/>
        </w:rPr>
        <w:t>51</w:t>
      </w:r>
      <w:r>
        <w:rPr>
          <w:noProof/>
        </w:rPr>
        <w:fldChar w:fldCharType="end"/>
      </w:r>
    </w:p>
    <w:p w14:paraId="4A6797B1" w14:textId="0A68ACF3" w:rsidR="002B76A7" w:rsidRDefault="00D079D8" w:rsidP="009D7A76">
      <w:pPr>
        <w:pStyle w:val="TOC3"/>
        <w:ind w:left="0" w:firstLine="0"/>
      </w:pPr>
      <w:r>
        <w:rPr>
          <w:noProof/>
        </w:rPr>
        <w:t>Table 10: Timeline of major COVID-19 events in Aotearoa New Zealand, 2022</w:t>
      </w:r>
      <w:r>
        <w:rPr>
          <w:noProof/>
        </w:rPr>
        <w:tab/>
      </w:r>
      <w:r>
        <w:rPr>
          <w:noProof/>
        </w:rPr>
        <w:fldChar w:fldCharType="begin"/>
      </w:r>
      <w:r>
        <w:rPr>
          <w:noProof/>
        </w:rPr>
        <w:instrText xml:space="preserve"> PAGEREF _Toc138409986 \h </w:instrText>
      </w:r>
      <w:r>
        <w:rPr>
          <w:noProof/>
        </w:rPr>
      </w:r>
      <w:r>
        <w:rPr>
          <w:noProof/>
        </w:rPr>
        <w:fldChar w:fldCharType="separate"/>
      </w:r>
      <w:r w:rsidR="00BE208D">
        <w:rPr>
          <w:noProof/>
        </w:rPr>
        <w:t>62</w:t>
      </w:r>
      <w:r>
        <w:rPr>
          <w:noProof/>
        </w:rPr>
        <w:fldChar w:fldCharType="end"/>
      </w:r>
      <w:r w:rsidR="002B76A7">
        <w:fldChar w:fldCharType="end"/>
      </w:r>
    </w:p>
    <w:p w14:paraId="03333094" w14:textId="77777777" w:rsidR="001D3E4E" w:rsidRDefault="001D3E4E" w:rsidP="003A5FEA">
      <w:pPr>
        <w:sectPr w:rsidR="001D3E4E" w:rsidSect="009D7A76">
          <w:headerReference w:type="even" r:id="rId22"/>
          <w:headerReference w:type="default" r:id="rId23"/>
          <w:footerReference w:type="even" r:id="rId24"/>
          <w:footerReference w:type="default" r:id="rId25"/>
          <w:pgSz w:w="11907" w:h="16840" w:code="9"/>
          <w:pgMar w:top="1276" w:right="1701" w:bottom="1134" w:left="1843" w:header="284" w:footer="425" w:gutter="284"/>
          <w:pgNumType w:fmt="lowerRoman"/>
          <w:cols w:space="720"/>
        </w:sectPr>
      </w:pPr>
    </w:p>
    <w:p w14:paraId="39BE2591" w14:textId="14B0727C" w:rsidR="008C2973" w:rsidRPr="00025EAD" w:rsidRDefault="00025EAD" w:rsidP="00025EAD">
      <w:pPr>
        <w:pStyle w:val="Heading1"/>
        <w:spacing w:before="0"/>
      </w:pPr>
      <w:bookmarkStart w:id="6" w:name="_Toc139030802"/>
      <w:r w:rsidRPr="00025EAD">
        <w:lastRenderedPageBreak/>
        <w:t>Introduction | He kupu whakataki</w:t>
      </w:r>
      <w:bookmarkEnd w:id="6"/>
    </w:p>
    <w:p w14:paraId="7FC13944" w14:textId="77777777" w:rsidR="001E7E3E" w:rsidRDefault="001E7E3E" w:rsidP="001E7E3E">
      <w:r>
        <w:t>The Health and Independence Report is a comprehensive annual report from Manatū Hauora — the Ministry of Health. We have prepared it on behalf of the Director-General of Health in line with section 3C of the Health Act 1956. The purpose of the report is to provide an overview of the current state of public health and wellbeing of New Zealanders.</w:t>
      </w:r>
    </w:p>
    <w:p w14:paraId="32BED20D" w14:textId="77777777" w:rsidR="001E7E3E" w:rsidRDefault="001E7E3E" w:rsidP="001E7E3E"/>
    <w:p w14:paraId="5D8D095F" w14:textId="77777777" w:rsidR="001E7E3E" w:rsidRDefault="001E7E3E" w:rsidP="001E7E3E">
      <w:r>
        <w:t xml:space="preserve">The report provides information on a wide range of health-related topics, including mortality rates, disease prevalence, health service use and health inequities. It also reports on the determinants of health, such as poverty, housing, income and employment, which can have a significant impact on the health outcomes of both individuals and communities. </w:t>
      </w:r>
    </w:p>
    <w:p w14:paraId="06AD7AC0" w14:textId="77777777" w:rsidR="001E7E3E" w:rsidRDefault="001E7E3E" w:rsidP="001E7E3E"/>
    <w:p w14:paraId="484AC72E" w14:textId="77777777" w:rsidR="001E7E3E" w:rsidRDefault="001E7E3E" w:rsidP="001E7E3E">
      <w:r>
        <w:t xml:space="preserve">The data and information on health outcomes are the latest available. They provide as much detail as possible, including with breakdowns by ethnic group, age group, gender, disability and socioeconomic deprivation. By providing this information, the Health and Independence Report supports evidence-based decision-making and serves as a resource for policy makers, health professionals and anyone else with an interest in promoting good health and wellbeing for New Zealanders. </w:t>
      </w:r>
    </w:p>
    <w:p w14:paraId="77C808B9" w14:textId="77777777" w:rsidR="001E7E3E" w:rsidRDefault="001E7E3E" w:rsidP="001E7E3E"/>
    <w:p w14:paraId="099C7B0C" w14:textId="351D98DC" w:rsidR="00025EAD" w:rsidRDefault="001E7E3E" w:rsidP="001E7E3E">
      <w:r>
        <w:t>The report has 4 sections.</w:t>
      </w:r>
    </w:p>
    <w:p w14:paraId="32E31C02" w14:textId="77777777" w:rsidR="001E7E3E" w:rsidRPr="001E7E3E" w:rsidRDefault="001E7E3E" w:rsidP="001E7E3E">
      <w:pPr>
        <w:pStyle w:val="ListNumber"/>
        <w:spacing w:before="90"/>
        <w:ind w:left="357" w:hanging="357"/>
        <w:contextualSpacing w:val="0"/>
      </w:pPr>
      <w:r w:rsidRPr="001E7E3E">
        <w:t>‘People of Aotearoa New Zealand’ describes</w:t>
      </w:r>
      <w:r w:rsidRPr="001E7E3E" w:rsidDel="00AE37D9">
        <w:t xml:space="preserve"> </w:t>
      </w:r>
      <w:r w:rsidRPr="001E7E3E">
        <w:t>the health system reform, Pae Ora Health Strategies, equity and population estimates, projections and distribution.</w:t>
      </w:r>
    </w:p>
    <w:p w14:paraId="4DB63CE9" w14:textId="77777777" w:rsidR="001E7E3E" w:rsidRPr="001E7E3E" w:rsidRDefault="001E7E3E" w:rsidP="001E7E3E">
      <w:pPr>
        <w:pStyle w:val="ListNumber"/>
        <w:spacing w:before="90"/>
        <w:ind w:left="357" w:hanging="357"/>
        <w:contextualSpacing w:val="0"/>
      </w:pPr>
      <w:r w:rsidRPr="001E7E3E">
        <w:t>‘Health measures’ covers life expectancy, health expectancy and causes of health loss. It gives additional detail on cardiovascular and cerebrovascular diseases, cancer, diabetes, chronic pain, oral health, and mental wellbeing and mental distress.</w:t>
      </w:r>
    </w:p>
    <w:p w14:paraId="634B9BB9" w14:textId="77777777" w:rsidR="001E7E3E" w:rsidRPr="001E7E3E" w:rsidRDefault="001E7E3E" w:rsidP="001E7E3E">
      <w:pPr>
        <w:pStyle w:val="ListNumber"/>
        <w:spacing w:before="90"/>
        <w:ind w:left="357" w:hanging="357"/>
        <w:contextualSpacing w:val="0"/>
      </w:pPr>
      <w:r w:rsidRPr="001E7E3E">
        <w:t>‘Determinants of health and wellbeing’ covers:</w:t>
      </w:r>
    </w:p>
    <w:p w14:paraId="66A1E351" w14:textId="77777777" w:rsidR="001E7E3E" w:rsidRPr="001E7E3E" w:rsidRDefault="001E7E3E" w:rsidP="001E7E3E">
      <w:pPr>
        <w:pStyle w:val="ListNumber2"/>
        <w:spacing w:before="90"/>
        <w:ind w:left="714" w:hanging="357"/>
        <w:contextualSpacing w:val="0"/>
      </w:pPr>
      <w:r w:rsidRPr="001E7E3E">
        <w:t>child poverty, household food insecurity, housing, and health risks and protective factors such as tobacco use (including youth smoking), vaping, alcohol, nutrition and obesity</w:t>
      </w:r>
    </w:p>
    <w:p w14:paraId="6B9A95D5" w14:textId="77777777" w:rsidR="001E7E3E" w:rsidRPr="001E7E3E" w:rsidRDefault="001E7E3E" w:rsidP="001E7E3E">
      <w:pPr>
        <w:pStyle w:val="ListNumber2"/>
        <w:spacing w:before="90"/>
        <w:ind w:left="714" w:hanging="357"/>
        <w:contextualSpacing w:val="0"/>
      </w:pPr>
      <w:r w:rsidRPr="001E7E3E">
        <w:t>health service use and health care — in particular, primary care (people enrolled, engaged with services and not enrolled), immunisation, cancer screening and hospital/specialist care (emergency care, ambulatory sensitive hospitalisations and planned care).</w:t>
      </w:r>
    </w:p>
    <w:p w14:paraId="2472EC70" w14:textId="77777777" w:rsidR="001E7E3E" w:rsidRPr="0007414B" w:rsidRDefault="001E7E3E" w:rsidP="001E7E3E">
      <w:pPr>
        <w:pStyle w:val="ListNumber"/>
        <w:spacing w:before="90"/>
        <w:ind w:left="357" w:hanging="357"/>
        <w:contextualSpacing w:val="0"/>
      </w:pPr>
      <w:r w:rsidRPr="001E7E3E">
        <w:t>‘</w:t>
      </w:r>
      <w:r w:rsidRPr="0007414B">
        <w:t>COVID-19’ provides an overview of the pandemic in 2022, COVID-19 cases, hospitalisations and deaths, COVID-19 reinfections, long COVID and COVID-19 vaccination rates.</w:t>
      </w:r>
    </w:p>
    <w:p w14:paraId="4B7E00FE" w14:textId="267A0A1F" w:rsidR="001E7E3E" w:rsidRDefault="001E7E3E" w:rsidP="001E7E3E"/>
    <w:p w14:paraId="3BAF9D28" w14:textId="77777777" w:rsidR="00025EAD" w:rsidRDefault="00025EAD" w:rsidP="00005BB5">
      <w:pPr>
        <w:sectPr w:rsidR="00025EAD" w:rsidSect="003309CA">
          <w:headerReference w:type="default" r:id="rId26"/>
          <w:footerReference w:type="even" r:id="rId27"/>
          <w:footerReference w:type="default" r:id="rId28"/>
          <w:pgSz w:w="11907" w:h="16834" w:code="9"/>
          <w:pgMar w:top="1418" w:right="1701" w:bottom="1134" w:left="1843" w:header="284" w:footer="425" w:gutter="284"/>
          <w:pgNumType w:start="1"/>
          <w:cols w:space="720"/>
        </w:sectPr>
      </w:pPr>
    </w:p>
    <w:p w14:paraId="6E5E14C1" w14:textId="4B361BB7" w:rsidR="00025EAD" w:rsidRDefault="00025EAD" w:rsidP="00B51F42">
      <w:pPr>
        <w:pStyle w:val="Heading1"/>
        <w:spacing w:before="0" w:after="320"/>
      </w:pPr>
      <w:bookmarkStart w:id="7" w:name="_Toc139030803"/>
      <w:r w:rsidRPr="00025EAD">
        <w:lastRenderedPageBreak/>
        <w:t>People of Aotearoa New Zealand | Ngā tāngata o Aotearoa</w:t>
      </w:r>
      <w:bookmarkEnd w:id="7"/>
    </w:p>
    <w:p w14:paraId="7CF4AE78" w14:textId="5348BFA5" w:rsidR="00B1007E" w:rsidRDefault="00025EAD" w:rsidP="00B51F42">
      <w:pPr>
        <w:pStyle w:val="Heading2"/>
        <w:spacing w:before="440"/>
        <w:rPr>
          <w:rFonts w:eastAsia="Arial Unicode MS"/>
        </w:rPr>
      </w:pPr>
      <w:bookmarkStart w:id="8" w:name="_Toc139030804"/>
      <w:r w:rsidRPr="00025EAD">
        <w:rPr>
          <w:rFonts w:eastAsia="Arial Unicode MS"/>
        </w:rPr>
        <w:t>Health system reform</w:t>
      </w:r>
      <w:bookmarkEnd w:id="8"/>
    </w:p>
    <w:p w14:paraId="78F0BB80" w14:textId="77777777" w:rsidR="001E7E3E" w:rsidRPr="0007414B" w:rsidRDefault="001E7E3E" w:rsidP="001E7E3E">
      <w:pPr>
        <w:rPr>
          <w:rFonts w:eastAsia="Calibri Light"/>
        </w:rPr>
      </w:pPr>
      <w:r w:rsidRPr="0007414B">
        <w:rPr>
          <w:rFonts w:eastAsia="Calibri Light"/>
        </w:rPr>
        <w:t xml:space="preserve">On 1 July 2022, Aotearoa New Zealand moved to a new national health system </w:t>
      </w:r>
      <w:r w:rsidRPr="0007414B">
        <w:rPr>
          <w:rFonts w:eastAsia="Calibri Light"/>
        </w:rPr>
        <w:fldChar w:fldCharType="begin"/>
      </w:r>
      <w:r>
        <w:rPr>
          <w:rFonts w:eastAsia="Calibri Light"/>
        </w:rPr>
        <w:instrText xml:space="preserve"> ADDIN EN.CITE &lt;EndNote&gt;&lt;Cite&gt;&lt;Author&gt;Manatū Hauora&lt;/Author&gt;&lt;Year&gt;2022&lt;/Year&gt;&lt;RecNum&gt;336&lt;/RecNum&gt;&lt;DisplayText&gt;(Manatū Hauora 2022j)&lt;/DisplayText&gt;&lt;record&gt;&lt;rec-number&gt;336&lt;/rec-number&gt;&lt;foreign-keys&gt;&lt;key app="EN" db-id="aaepvppzs5wtfse95vsp2wahsrtvva2vvdet" timestamp="1683603758"&gt;336&lt;/key&gt;&lt;/foreign-keys&gt;&lt;ref-type name="Web Page"&gt;12&lt;/ref-type&gt;&lt;contributors&gt;&lt;authors&gt;&lt;author&gt;&lt;style face="normal" font="default" size="100%"&gt;Manat&lt;/style&gt;&lt;style face="normal" font="default" charset="238" size="100%"&gt;ū Hauora,&lt;/style&gt;&lt;/author&gt;&lt;/authors&gt;&lt;/contributors&gt;&lt;titles&gt;&lt;title&gt;New health and disability system&lt;/title&gt;&lt;/titles&gt;&lt;number&gt;9 May 2023&lt;/number&gt;&lt;dates&gt;&lt;year&gt;2022&lt;/year&gt;&lt;/dates&gt;&lt;urls&gt;&lt;related-urls&gt;&lt;url&gt;www.health.govt.nz/new-zealand-health-system/new-health-and-disability-system&lt;/url&gt;&lt;/related-urls&gt;&lt;/urls&gt;&lt;/record&gt;&lt;/Cite&gt;&lt;/EndNote&gt;</w:instrText>
      </w:r>
      <w:r w:rsidRPr="0007414B">
        <w:rPr>
          <w:rFonts w:eastAsia="Calibri Light"/>
        </w:rPr>
        <w:fldChar w:fldCharType="separate"/>
      </w:r>
      <w:r w:rsidRPr="0007414B">
        <w:rPr>
          <w:rFonts w:eastAsia="Calibri Light"/>
          <w:noProof/>
        </w:rPr>
        <w:t>(Manatū Hauora 2022j)</w:t>
      </w:r>
      <w:r w:rsidRPr="0007414B">
        <w:rPr>
          <w:rFonts w:eastAsia="Calibri Light"/>
        </w:rPr>
        <w:fldChar w:fldCharType="end"/>
      </w:r>
      <w:r w:rsidRPr="0007414B">
        <w:rPr>
          <w:rFonts w:eastAsia="Calibri Light"/>
        </w:rPr>
        <w:t>. New legislation, the Pae Ora (Healthy Futures) Act 2022, enabled this change. At this time, 4 new entities were established.</w:t>
      </w:r>
    </w:p>
    <w:p w14:paraId="465605CD" w14:textId="77777777" w:rsidR="001E7E3E" w:rsidRPr="001E7E3E" w:rsidRDefault="001E7E3E" w:rsidP="00395CB9">
      <w:pPr>
        <w:pStyle w:val="ListNumber"/>
        <w:numPr>
          <w:ilvl w:val="0"/>
          <w:numId w:val="9"/>
        </w:numPr>
        <w:spacing w:before="90"/>
        <w:ind w:left="357" w:hanging="357"/>
        <w:contextualSpacing w:val="0"/>
      </w:pPr>
      <w:r w:rsidRPr="001E7E3E">
        <w:t>Te Whatu Ora — Health New Zealand has merged 20 district health boards and brought a range of other entities into this single national organisation to lead and coordinate the delivery of health services across the country.</w:t>
      </w:r>
    </w:p>
    <w:p w14:paraId="6D295D51" w14:textId="77777777" w:rsidR="001E7E3E" w:rsidRPr="001E7E3E" w:rsidRDefault="001E7E3E" w:rsidP="001E7E3E">
      <w:pPr>
        <w:pStyle w:val="ListNumber"/>
        <w:spacing w:before="90"/>
        <w:ind w:left="357" w:hanging="357"/>
        <w:contextualSpacing w:val="0"/>
      </w:pPr>
      <w:r w:rsidRPr="001E7E3E">
        <w:t>Te Aka Whai Ora — Māori Health Authority is an independent statutory authority that will drive improvement in hauora Māori.</w:t>
      </w:r>
    </w:p>
    <w:p w14:paraId="66EDD014" w14:textId="77777777" w:rsidR="001E7E3E" w:rsidRPr="001E7E3E" w:rsidRDefault="001E7E3E" w:rsidP="00B51F42">
      <w:pPr>
        <w:pStyle w:val="ListNumber"/>
        <w:spacing w:before="90"/>
        <w:ind w:left="357" w:right="-143" w:hanging="357"/>
        <w:contextualSpacing w:val="0"/>
      </w:pPr>
      <w:r w:rsidRPr="001E7E3E">
        <w:t>A Public Health Agency within Manatū Hauora</w:t>
      </w:r>
      <w:r w:rsidRPr="001E7E3E" w:rsidDel="00605897">
        <w:t xml:space="preserve"> </w:t>
      </w:r>
      <w:r w:rsidRPr="001E7E3E">
        <w:t>will lead and strengthen public health.</w:t>
      </w:r>
    </w:p>
    <w:p w14:paraId="4C547F95" w14:textId="77777777" w:rsidR="001E7E3E" w:rsidRPr="001E7E3E" w:rsidRDefault="001E7E3E" w:rsidP="001E7E3E">
      <w:pPr>
        <w:pStyle w:val="ListNumber"/>
        <w:spacing w:before="90"/>
        <w:ind w:left="357" w:hanging="357"/>
        <w:contextualSpacing w:val="0"/>
      </w:pPr>
      <w:r w:rsidRPr="001E7E3E">
        <w:t>Whaikaha — Ministry of Disabled People will provide a wider lens on disability across government and drive transformation of the disability support system.</w:t>
      </w:r>
    </w:p>
    <w:p w14:paraId="60AF5BAE" w14:textId="77777777" w:rsidR="001E7E3E" w:rsidRPr="0007414B" w:rsidRDefault="001E7E3E" w:rsidP="001E7E3E">
      <w:pPr>
        <w:rPr>
          <w:rFonts w:eastAsia="Calibri Light"/>
        </w:rPr>
      </w:pPr>
    </w:p>
    <w:p w14:paraId="425D1946" w14:textId="77777777" w:rsidR="001E7E3E" w:rsidRPr="0007414B" w:rsidRDefault="001E7E3E" w:rsidP="001E7E3E">
      <w:pPr>
        <w:rPr>
          <w:rFonts w:cs="Segoe UI"/>
        </w:rPr>
      </w:pPr>
      <w:r w:rsidRPr="0007414B">
        <w:rPr>
          <w:rFonts w:cs="Segoe UI"/>
        </w:rPr>
        <w:t>The purpose of the Pae Ora</w:t>
      </w:r>
      <w:r w:rsidRPr="0007414B">
        <w:rPr>
          <w:rFonts w:eastAsia="Calibri Light" w:cs="Segoe UI"/>
          <w:szCs w:val="21"/>
        </w:rPr>
        <w:t xml:space="preserve"> (Healthy Futures)</w:t>
      </w:r>
      <w:r w:rsidRPr="0007414B">
        <w:rPr>
          <w:rFonts w:cs="Segoe UI"/>
        </w:rPr>
        <w:t xml:space="preserve"> Act 2022 is to provide public funding and services to:</w:t>
      </w:r>
    </w:p>
    <w:p w14:paraId="089F5DF6" w14:textId="77777777" w:rsidR="001E7E3E" w:rsidRPr="0007414B" w:rsidRDefault="001E7E3E" w:rsidP="001E7E3E">
      <w:pPr>
        <w:pStyle w:val="Bullet"/>
      </w:pPr>
      <w:bookmarkStart w:id="9" w:name="_Hlk134078686"/>
      <w:r w:rsidRPr="0007414B">
        <w:t>protect, promote and improve the health of all New Zealanders</w:t>
      </w:r>
    </w:p>
    <w:p w14:paraId="64E45D70" w14:textId="77777777" w:rsidR="001E7E3E" w:rsidRPr="0007414B" w:rsidRDefault="001E7E3E" w:rsidP="001E7E3E">
      <w:pPr>
        <w:pStyle w:val="Bullet"/>
      </w:pPr>
      <w:r w:rsidRPr="0007414B">
        <w:t>achieve equity in health outcomes among Aotearoa New Zealand’s population groups, including by striving to eliminate health disparities, in particular for Māori</w:t>
      </w:r>
    </w:p>
    <w:p w14:paraId="27E17EEF" w14:textId="77777777" w:rsidR="001E7E3E" w:rsidRPr="0007414B" w:rsidRDefault="001E7E3E" w:rsidP="001E7E3E">
      <w:pPr>
        <w:pStyle w:val="Bullet"/>
      </w:pPr>
      <w:r w:rsidRPr="0007414B">
        <w:t xml:space="preserve">build towards pae ora </w:t>
      </w:r>
      <w:r>
        <w:t>|</w:t>
      </w:r>
      <w:r w:rsidRPr="0007414B">
        <w:t xml:space="preserve"> healthy futures for all New Zealanders.</w:t>
      </w:r>
    </w:p>
    <w:p w14:paraId="6C314374" w14:textId="16CE479B" w:rsidR="00025EAD" w:rsidRDefault="00025EAD" w:rsidP="00025EAD">
      <w:pPr>
        <w:pStyle w:val="Heading2"/>
        <w:rPr>
          <w:rFonts w:eastAsia="Arial Unicode MS"/>
        </w:rPr>
      </w:pPr>
      <w:bookmarkStart w:id="10" w:name="_Toc139030805"/>
      <w:bookmarkEnd w:id="9"/>
      <w:r w:rsidRPr="00025EAD">
        <w:rPr>
          <w:rFonts w:eastAsia="Arial Unicode MS"/>
        </w:rPr>
        <w:t>Pae Ora Health Strategies</w:t>
      </w:r>
      <w:bookmarkEnd w:id="10"/>
    </w:p>
    <w:p w14:paraId="2E0ADC5E" w14:textId="77777777" w:rsidR="001E7E3E" w:rsidRPr="0007414B" w:rsidRDefault="001E7E3E" w:rsidP="001E7E3E">
      <w:pPr>
        <w:rPr>
          <w:rFonts w:cs="Segoe UI"/>
        </w:rPr>
      </w:pPr>
      <w:r w:rsidRPr="0007414B">
        <w:rPr>
          <w:rFonts w:cs="Segoe UI"/>
        </w:rPr>
        <w:t xml:space="preserve">The Pae Ora (Healthy Futures) Act 2022 requires the development of 6 </w:t>
      </w:r>
      <w:r>
        <w:rPr>
          <w:rFonts w:cs="Segoe UI"/>
        </w:rPr>
        <w:t>Pae Ora H</w:t>
      </w:r>
      <w:r w:rsidRPr="0007414B">
        <w:rPr>
          <w:rFonts w:cs="Segoe UI"/>
        </w:rPr>
        <w:t xml:space="preserve">ealth </w:t>
      </w:r>
      <w:r>
        <w:rPr>
          <w:rFonts w:cs="Segoe UI"/>
        </w:rPr>
        <w:t>S</w:t>
      </w:r>
      <w:r w:rsidRPr="0007414B">
        <w:rPr>
          <w:rFonts w:cs="Segoe UI"/>
        </w:rPr>
        <w:t>trategies to set the system direction to achieve pae ora</w:t>
      </w:r>
      <w:r>
        <w:rPr>
          <w:rFonts w:cs="Segoe UI"/>
        </w:rPr>
        <w:t xml:space="preserve"> | healthy futures</w:t>
      </w:r>
      <w:r w:rsidRPr="0007414B">
        <w:rPr>
          <w:rFonts w:cs="Segoe UI"/>
        </w:rPr>
        <w:t xml:space="preserve"> </w:t>
      </w:r>
      <w:r w:rsidRPr="0007414B">
        <w:rPr>
          <w:rFonts w:cs="Segoe UI"/>
        </w:rPr>
        <w:fldChar w:fldCharType="begin"/>
      </w:r>
      <w:r>
        <w:rPr>
          <w:rFonts w:cs="Segoe UI"/>
        </w:rPr>
        <w:instrText xml:space="preserve"> ADDIN EN.CITE &lt;EndNote&gt;&lt;Cite&gt;&lt;Author&gt;Manatū Hauora&lt;/Author&gt;&lt;Year&gt;2022&lt;/Year&gt;&lt;RecNum&gt;337&lt;/RecNum&gt;&lt;DisplayText&gt;(Manatū Hauora 2022h)&lt;/DisplayText&gt;&lt;record&gt;&lt;rec-number&gt;337&lt;/rec-number&gt;&lt;foreign-keys&gt;&lt;key app="EN" db-id="aaepvppzs5wtfse95vsp2wahsrtvva2vvdet" timestamp="1683622710"&gt;337&lt;/key&gt;&lt;/foreign-keys&gt;&lt;ref-type name="Web Page"&gt;12&lt;/ref-type&gt;&lt;contributors&gt;&lt;authors&gt;&lt;author&gt;&lt;style face="normal" font="default" size="100%"&gt;Manat&lt;/style&gt;&lt;style face="normal" font="default" charset="238" size="100%"&gt;ū Hauora,&lt;/style&gt;&lt;/author&gt;&lt;/authors&gt;&lt;/contributors&gt;&lt;titles&gt;&lt;title&gt;Health strategies for all New Zealanders&lt;/title&gt;&lt;/titles&gt;&lt;number&gt;9 May 2023&lt;/number&gt;&lt;dates&gt;&lt;year&gt;2022&lt;/year&gt;&lt;/dates&gt;&lt;urls&gt;&lt;related-urls&gt;&lt;url&gt;www.health.govt.nz/new-zealand-health-system/setting-direction-our-new-health-system/health-strategies-all-new-zealanders&lt;/url&gt;&lt;/related-urls&gt;&lt;/urls&gt;&lt;/record&gt;&lt;/Cite&gt;&lt;/EndNote&gt;</w:instrText>
      </w:r>
      <w:r w:rsidRPr="0007414B">
        <w:rPr>
          <w:rFonts w:cs="Segoe UI"/>
        </w:rPr>
        <w:fldChar w:fldCharType="separate"/>
      </w:r>
      <w:r w:rsidRPr="0007414B">
        <w:rPr>
          <w:rFonts w:cs="Segoe UI"/>
          <w:noProof/>
        </w:rPr>
        <w:t>(Manatū Hauora 2022h)</w:t>
      </w:r>
      <w:r w:rsidRPr="0007414B">
        <w:rPr>
          <w:rFonts w:cs="Segoe UI"/>
        </w:rPr>
        <w:fldChar w:fldCharType="end"/>
      </w:r>
      <w:r w:rsidRPr="0007414B">
        <w:rPr>
          <w:rFonts w:cs="Segoe UI"/>
        </w:rPr>
        <w:t xml:space="preserve">. </w:t>
      </w:r>
      <w:r w:rsidRPr="0007414B">
        <w:rPr>
          <w:rFonts w:eastAsia="Calibri Light" w:cs="Segoe UI"/>
        </w:rPr>
        <w:t xml:space="preserve">The 6 </w:t>
      </w:r>
      <w:r>
        <w:rPr>
          <w:rFonts w:eastAsia="Calibri Light" w:cs="Segoe UI"/>
        </w:rPr>
        <w:t>Pae Ora H</w:t>
      </w:r>
      <w:r w:rsidRPr="0007414B">
        <w:rPr>
          <w:rFonts w:eastAsia="Calibri Light" w:cs="Segoe UI"/>
        </w:rPr>
        <w:t xml:space="preserve">ealth </w:t>
      </w:r>
      <w:r>
        <w:rPr>
          <w:rFonts w:eastAsia="Calibri Light" w:cs="Segoe UI"/>
        </w:rPr>
        <w:t>S</w:t>
      </w:r>
      <w:r w:rsidRPr="0007414B">
        <w:rPr>
          <w:rFonts w:eastAsia="Calibri Light" w:cs="Segoe UI"/>
        </w:rPr>
        <w:t>trategies are:</w:t>
      </w:r>
    </w:p>
    <w:p w14:paraId="71B4C103" w14:textId="77777777" w:rsidR="001E7E3E" w:rsidRPr="0007414B" w:rsidRDefault="001E7E3E" w:rsidP="00395CB9">
      <w:pPr>
        <w:pStyle w:val="ListNumber"/>
        <w:numPr>
          <w:ilvl w:val="0"/>
          <w:numId w:val="10"/>
        </w:numPr>
        <w:spacing w:before="90"/>
        <w:contextualSpacing w:val="0"/>
      </w:pPr>
      <w:r w:rsidRPr="0007414B">
        <w:t>New Zealand Health Strategy</w:t>
      </w:r>
    </w:p>
    <w:p w14:paraId="3E5D7924" w14:textId="77777777" w:rsidR="001E7E3E" w:rsidRPr="0007414B" w:rsidRDefault="001E7E3E" w:rsidP="00395CB9">
      <w:pPr>
        <w:pStyle w:val="ListNumber"/>
        <w:numPr>
          <w:ilvl w:val="0"/>
          <w:numId w:val="10"/>
        </w:numPr>
        <w:spacing w:before="90"/>
        <w:contextualSpacing w:val="0"/>
      </w:pPr>
      <w:r w:rsidRPr="0007414B">
        <w:t>Hauora Māori Strategy</w:t>
      </w:r>
    </w:p>
    <w:p w14:paraId="22FD2708" w14:textId="77777777" w:rsidR="001E7E3E" w:rsidRPr="0007414B" w:rsidRDefault="001E7E3E" w:rsidP="00395CB9">
      <w:pPr>
        <w:pStyle w:val="ListNumber"/>
        <w:numPr>
          <w:ilvl w:val="0"/>
          <w:numId w:val="10"/>
        </w:numPr>
        <w:spacing w:before="90"/>
        <w:contextualSpacing w:val="0"/>
      </w:pPr>
      <w:r w:rsidRPr="0007414B">
        <w:t>Pacific Health Strategy</w:t>
      </w:r>
    </w:p>
    <w:p w14:paraId="64CF2649" w14:textId="77777777" w:rsidR="001E7E3E" w:rsidRPr="0007414B" w:rsidRDefault="001E7E3E" w:rsidP="00395CB9">
      <w:pPr>
        <w:pStyle w:val="ListNumber"/>
        <w:numPr>
          <w:ilvl w:val="0"/>
          <w:numId w:val="10"/>
        </w:numPr>
        <w:spacing w:before="90"/>
        <w:contextualSpacing w:val="0"/>
      </w:pPr>
      <w:r w:rsidRPr="0007414B">
        <w:t>Health of Disabled People Strategy</w:t>
      </w:r>
    </w:p>
    <w:p w14:paraId="79FCAA30" w14:textId="77777777" w:rsidR="001E7E3E" w:rsidRPr="0007414B" w:rsidRDefault="001E7E3E" w:rsidP="00395CB9">
      <w:pPr>
        <w:pStyle w:val="ListNumber"/>
        <w:numPr>
          <w:ilvl w:val="0"/>
          <w:numId w:val="10"/>
        </w:numPr>
        <w:spacing w:before="90"/>
        <w:contextualSpacing w:val="0"/>
      </w:pPr>
      <w:r w:rsidRPr="0007414B">
        <w:t>Women’s Health Strategy</w:t>
      </w:r>
    </w:p>
    <w:p w14:paraId="6D19F450" w14:textId="77777777" w:rsidR="001E7E3E" w:rsidRPr="0007414B" w:rsidRDefault="001E7E3E" w:rsidP="00395CB9">
      <w:pPr>
        <w:pStyle w:val="ListNumber"/>
        <w:numPr>
          <w:ilvl w:val="0"/>
          <w:numId w:val="10"/>
        </w:numPr>
        <w:spacing w:before="90"/>
        <w:contextualSpacing w:val="0"/>
      </w:pPr>
      <w:r w:rsidRPr="0007414B">
        <w:t>Rural Health Strategy.</w:t>
      </w:r>
    </w:p>
    <w:p w14:paraId="17BE8B17" w14:textId="77777777" w:rsidR="001E7E3E" w:rsidRPr="0007414B" w:rsidRDefault="001E7E3E" w:rsidP="001E7E3E">
      <w:pPr>
        <w:rPr>
          <w:rFonts w:cs="Segoe UI"/>
          <w:szCs w:val="21"/>
        </w:rPr>
      </w:pPr>
    </w:p>
    <w:p w14:paraId="03EAA5BC" w14:textId="77777777" w:rsidR="001E7E3E" w:rsidRPr="0007414B" w:rsidRDefault="001E7E3E" w:rsidP="001E7E3E">
      <w:r w:rsidRPr="0007414B">
        <w:t xml:space="preserve">Together the Pae Ora </w:t>
      </w:r>
      <w:r>
        <w:t>Health S</w:t>
      </w:r>
      <w:r w:rsidRPr="0007414B">
        <w:t xml:space="preserve">trategies will set the medium- and long-term direction for the health system and provide a framework for achieving pae ora </w:t>
      </w:r>
      <w:r>
        <w:t>|</w:t>
      </w:r>
      <w:r w:rsidRPr="0007414B" w:rsidDel="00000D68">
        <w:t xml:space="preserve"> healthy futures</w:t>
      </w:r>
      <w:r w:rsidRPr="0007414B">
        <w:t xml:space="preserve"> for all New Zealanders. Manatū Hauora is developing these strategies on behalf of the Minister of Health. It is developing the Hauora Māori Strategy together with Te Aka Whai Ora.</w:t>
      </w:r>
    </w:p>
    <w:p w14:paraId="7269CD78" w14:textId="3F458451" w:rsidR="00025EAD" w:rsidRDefault="00025EAD" w:rsidP="00025EAD">
      <w:pPr>
        <w:pStyle w:val="Heading2"/>
        <w:rPr>
          <w:rFonts w:eastAsia="Arial Unicode MS"/>
        </w:rPr>
      </w:pPr>
      <w:bookmarkStart w:id="11" w:name="_Toc139030806"/>
      <w:r>
        <w:rPr>
          <w:rFonts w:eastAsia="Arial Unicode MS"/>
        </w:rPr>
        <w:t>Equity</w:t>
      </w:r>
      <w:bookmarkEnd w:id="11"/>
    </w:p>
    <w:p w14:paraId="44C523E7" w14:textId="77777777" w:rsidR="001E7E3E" w:rsidRPr="0007414B" w:rsidRDefault="001E7E3E" w:rsidP="001E7E3E">
      <w:r w:rsidRPr="0007414B">
        <w:t>The Pae Ora (Healthy Futures) Act 2022 puts equity at the heart of the health reforms. Achieving equity includes ensuring Māori and other population groups have access to services in proportion to their health needs, receive equitable levels of service and achieve equitable health outcomes.</w:t>
      </w:r>
    </w:p>
    <w:p w14:paraId="59FF2264" w14:textId="77777777" w:rsidR="001E7E3E" w:rsidRPr="0007414B" w:rsidRDefault="001E7E3E" w:rsidP="001E7E3E">
      <w:pPr>
        <w:rPr>
          <w:szCs w:val="21"/>
        </w:rPr>
      </w:pPr>
    </w:p>
    <w:p w14:paraId="2BD74F7D" w14:textId="7734F90B" w:rsidR="001E7E3E" w:rsidRDefault="001E7E3E" w:rsidP="001E7E3E">
      <w:r w:rsidRPr="0007414B">
        <w:t xml:space="preserve">The Manatū Hauora definition of equity in health is: </w:t>
      </w:r>
    </w:p>
    <w:p w14:paraId="4643186D" w14:textId="77777777" w:rsidR="001E7E3E" w:rsidRPr="0007414B" w:rsidRDefault="001E7E3E" w:rsidP="001E7E3E">
      <w:pPr>
        <w:rPr>
          <w:rFonts w:cs="Segoe UI"/>
        </w:rPr>
      </w:pPr>
    </w:p>
    <w:p w14:paraId="7E113D3B" w14:textId="77777777" w:rsidR="001E7E3E" w:rsidRPr="0007414B" w:rsidRDefault="001E7E3E" w:rsidP="001E7E3E">
      <w:pPr>
        <w:pStyle w:val="NormalIndent"/>
      </w:pPr>
      <w:r w:rsidRPr="0007414B">
        <w:t>In Aotearoa New Zealand, people have differences in health that are not only avoidable but unfair and unjust</w:t>
      </w:r>
      <w:r w:rsidRPr="0007414B">
        <w:rPr>
          <w:i/>
        </w:rPr>
        <w:t>.</w:t>
      </w:r>
      <w:r w:rsidRPr="0007414B">
        <w:t xml:space="preserve"> Equity recognises that different people with different levels of advantage require different approaches and resources to get equitable health outcomes</w:t>
      </w:r>
      <w:r>
        <w:t xml:space="preserve"> </w:t>
      </w:r>
      <w:r w:rsidRPr="0007414B">
        <w:fldChar w:fldCharType="begin"/>
      </w:r>
      <w:r>
        <w:instrText xml:space="preserve"> ADDIN EN.CITE &lt;EndNote&gt;&lt;Cite&gt;&lt;Author&gt;Manatū Hauora&lt;/Author&gt;&lt;Year&gt;2019&lt;/Year&gt;&lt;RecNum&gt;276&lt;/RecNum&gt;&lt;DisplayText&gt;(Manatū Hauora 2019a)&lt;/DisplayText&gt;&lt;record&gt;&lt;rec-number&gt;276&lt;/rec-number&gt;&lt;foreign-keys&gt;&lt;key app="EN" db-id="aaepvppzs5wtfse95vsp2wahsrtvva2vvdet" timestamp="1683174540"&gt;276&lt;/key&gt;&lt;/foreign-keys&gt;&lt;ref-type name="Web Page"&gt;12&lt;/ref-type&gt;&lt;contributors&gt;&lt;authors&gt;&lt;author&gt;&lt;style face="normal" font="default" size="100%"&gt;Manat&lt;/style&gt;&lt;style face="normal" font="default" charset="238" size="100%"&gt;ū Hauora,&lt;/style&gt;&lt;/author&gt;&lt;/authors&gt;&lt;/contributors&gt;&lt;titles&gt;&lt;title&gt;Achieving equity in health outcomes: Summary of a discovery process&lt;/title&gt;&lt;/titles&gt;&lt;number&gt;4 May 2023&lt;/number&gt;&lt;dates&gt;&lt;year&gt;2019&lt;/year&gt;&lt;/dates&gt;&lt;pub-location&gt;Wellington&lt;/pub-location&gt;&lt;publisher&gt;Ministry of Health&lt;/publisher&gt;&lt;urls&gt;&lt;related-urls&gt;&lt;url&gt;www.health.govt.nz/system/files/documents/publications/achieving-equity-in-health-outcomes-summary-of-a-discovery-process-30jul2019.pdf&lt;/url&gt;&lt;/related-urls&gt;&lt;/urls&gt;&lt;/record&gt;&lt;/Cite&gt;&lt;/EndNote&gt;</w:instrText>
      </w:r>
      <w:r w:rsidRPr="0007414B">
        <w:fldChar w:fldCharType="separate"/>
      </w:r>
      <w:r w:rsidRPr="0007414B">
        <w:rPr>
          <w:noProof/>
        </w:rPr>
        <w:t>(Manatū Hauora 2019a)</w:t>
      </w:r>
      <w:r w:rsidRPr="0007414B">
        <w:fldChar w:fldCharType="end"/>
      </w:r>
    </w:p>
    <w:p w14:paraId="766703EE" w14:textId="77777777" w:rsidR="001E7E3E" w:rsidRPr="0007414B" w:rsidRDefault="001E7E3E" w:rsidP="001E7E3E">
      <w:pPr>
        <w:rPr>
          <w:rFonts w:cs="Segoe UI"/>
          <w:szCs w:val="21"/>
        </w:rPr>
      </w:pPr>
    </w:p>
    <w:p w14:paraId="690EB945" w14:textId="77777777" w:rsidR="001E7E3E" w:rsidRPr="0007414B" w:rsidRDefault="001E7E3E" w:rsidP="001E7E3E">
      <w:r w:rsidRPr="0007414B">
        <w:t>All New Zealanders deserve to achieve their full health potential. However, not everyone has fair access to the factors that contribute to good health and wellbeing. Racism is increasingly recognised as a key determinant of health that results in avoidable and unfair disparities in health outcomes between racial or ethnic groupings.</w:t>
      </w:r>
    </w:p>
    <w:p w14:paraId="74E676FC" w14:textId="77777777" w:rsidR="001E7E3E" w:rsidRPr="0007414B" w:rsidRDefault="001E7E3E" w:rsidP="001E7E3E"/>
    <w:p w14:paraId="486FA977" w14:textId="77777777" w:rsidR="001E7E3E" w:rsidRPr="0007414B" w:rsidRDefault="001E7E3E" w:rsidP="001E7E3E">
      <w:r w:rsidRPr="0007414B">
        <w:t xml:space="preserve">Within Aotearoa New Zealand, extensive research has produced clear evidence of the presence of racism in the health system and its impact on health outcomes </w:t>
      </w:r>
      <w:r w:rsidRPr="0007414B">
        <w:fldChar w:fldCharType="begin"/>
      </w:r>
      <w:r>
        <w:instrText xml:space="preserve"> ADDIN EN.CITE &lt;EndNote&gt;&lt;Cite&gt;&lt;Author&gt;Manatū Hauora&lt;/Author&gt;&lt;Year&gt;2019&lt;/Year&gt;&lt;RecNum&gt;276&lt;/RecNum&gt;&lt;DisplayText&gt;(Manatū Hauora 2019a)&lt;/DisplayText&gt;&lt;record&gt;&lt;rec-number&gt;276&lt;/rec-number&gt;&lt;foreign-keys&gt;&lt;key app="EN" db-id="aaepvppzs5wtfse95vsp2wahsrtvva2vvdet" timestamp="1683174540"&gt;276&lt;/key&gt;&lt;/foreign-keys&gt;&lt;ref-type name="Web Page"&gt;12&lt;/ref-type&gt;&lt;contributors&gt;&lt;authors&gt;&lt;author&gt;&lt;style face="normal" font="default" size="100%"&gt;Manat&lt;/style&gt;&lt;style face="normal" font="default" charset="238" size="100%"&gt;ū Hauora,&lt;/style&gt;&lt;/author&gt;&lt;/authors&gt;&lt;/contributors&gt;&lt;titles&gt;&lt;title&gt;Achieving equity in health outcomes: Summary of a discovery process&lt;/title&gt;&lt;/titles&gt;&lt;number&gt;4 May 2023&lt;/number&gt;&lt;dates&gt;&lt;year&gt;2019&lt;/year&gt;&lt;/dates&gt;&lt;pub-location&gt;Wellington&lt;/pub-location&gt;&lt;publisher&gt;Ministry of Health&lt;/publisher&gt;&lt;urls&gt;&lt;related-urls&gt;&lt;url&gt;www.health.govt.nz/system/files/documents/publications/achieving-equity-in-health-outcomes-summary-of-a-discovery-process-30jul2019.pdf&lt;/url&gt;&lt;/related-urls&gt;&lt;/urls&gt;&lt;/record&gt;&lt;/Cite&gt;&lt;/EndNote&gt;</w:instrText>
      </w:r>
      <w:r w:rsidRPr="0007414B">
        <w:fldChar w:fldCharType="separate"/>
      </w:r>
      <w:r w:rsidRPr="0007414B">
        <w:rPr>
          <w:noProof/>
        </w:rPr>
        <w:t>(Manatū Hauora 2019a)</w:t>
      </w:r>
      <w:r w:rsidRPr="0007414B">
        <w:fldChar w:fldCharType="end"/>
      </w:r>
      <w:r w:rsidRPr="0007414B">
        <w:t xml:space="preserve">. As kaitiaki of the system, Manatū Hauora is undertaking work to support the way the health system understands, reacts and responds to racism in health </w:t>
      </w:r>
      <w:r w:rsidRPr="0007414B">
        <w:fldChar w:fldCharType="begin"/>
      </w:r>
      <w:r>
        <w:instrText xml:space="preserve"> ADDIN EN.CITE &lt;EndNote&gt;&lt;Cite&gt;&lt;Author&gt;Manatū Hauora&lt;/Author&gt;&lt;Year&gt;2023&lt;/Year&gt;&lt;RecNum&gt;277&lt;/RecNum&gt;&lt;DisplayText&gt;(Manatū Hauora 2023b)&lt;/DisplayText&gt;&lt;record&gt;&lt;rec-number&gt;277&lt;/rec-number&gt;&lt;foreign-keys&gt;&lt;key app="EN" db-id="aaepvppzs5wtfse95vsp2wahsrtvva2vvdet" timestamp="1683239186"&gt;277&lt;/key&gt;&lt;/foreign-keys&gt;&lt;ref-type name="Web Page"&gt;12&lt;/ref-type&gt;&lt;contributors&gt;&lt;authors&gt;&lt;author&gt;&lt;style face="normal" font="default" size="100%"&gt;Manat&lt;/style&gt;&lt;style face="normal" font="default" charset="238" size="100%"&gt;ū Hauora,&lt;/style&gt;&lt;/author&gt;&lt;/authors&gt;&lt;/contributors&gt;&lt;titles&gt;&lt;title&gt;&lt;style face="normal" font="default" size="100%"&gt;Ao Mai te R&lt;/style&gt;&lt;style face="normal" font="default" charset="238" size="100%"&gt;ā: The anti-racism kaupapa&lt;/style&gt;&lt;/title&gt;&lt;/titles&gt;&lt;number&gt;5 May 2023&lt;/number&gt;&lt;dates&gt;&lt;year&gt;2023&lt;/year&gt;&lt;/dates&gt;&lt;urls&gt;&lt;related-urls&gt;&lt;url&gt;www.health.govt.nz/our-work/populations/maori-health/ao-mai-te-ra-anti-racism-kaupapa&lt;/url&gt;&lt;/related-urls&gt;&lt;/urls&gt;&lt;/record&gt;&lt;/Cite&gt;&lt;/EndNote&gt;</w:instrText>
      </w:r>
      <w:r w:rsidRPr="0007414B">
        <w:fldChar w:fldCharType="separate"/>
      </w:r>
      <w:r w:rsidRPr="0007414B">
        <w:rPr>
          <w:noProof/>
        </w:rPr>
        <w:t>(Manatū Hauora 2023b)</w:t>
      </w:r>
      <w:r w:rsidRPr="0007414B">
        <w:fldChar w:fldCharType="end"/>
      </w:r>
      <w:r w:rsidRPr="0007414B">
        <w:t xml:space="preserve">. This includes identifying and shifting the conditions that hold unfair and unjust health outcomes in place. The initiative, titled Ao Mai te Rā (the dawn has come), has 2 phases — design and delivery. We will implement these over the lifespan of Whakamaua: Māori Health Action Plan 2020–2025 </w:t>
      </w:r>
      <w:r w:rsidRPr="0007414B">
        <w:fldChar w:fldCharType="begin"/>
      </w:r>
      <w:r w:rsidRPr="0007414B">
        <w:instrText xml:space="preserve"> ADDIN EN.CITE &lt;EndNote&gt;&lt;Cite&gt;&lt;Author&gt;Manatū Hauora&lt;/Author&gt;&lt;Year&gt;2020&lt;/Year&gt;&lt;RecNum&gt;135&lt;/RecNum&gt;&lt;DisplayText&gt;(Manatū Hauora 2020d)&lt;/DisplayText&gt;&lt;record&gt;&lt;rec-number&gt;135&lt;/rec-number&gt;&lt;foreign-keys&gt;&lt;key app="EN" db-id="aaepvppzs5wtfse95vsp2wahsrtvva2vvdet" timestamp="1634788387"&gt;135&lt;/key&gt;&lt;/foreign-keys&gt;&lt;ref-type name="Web Page"&gt;12&lt;/ref-type&gt;&lt;contributors&gt;&lt;authors&gt;&lt;author&gt;Manatū Hauora,&lt;/author&gt;&lt;/authors&gt;&lt;/contributors&gt;&lt;titles&gt;&lt;title&gt;&lt;style face="normal" font="default" size="100%"&gt;Whakamaua: M&lt;/style&gt;&lt;style face="normal" font="default" charset="238" size="100%"&gt;āori Health Action Plan 2020-2025&lt;/style&gt;&lt;/title&gt;&lt;/titles&gt;&lt;number&gt;5 May 2023&lt;/number&gt;&lt;dates&gt;&lt;year&gt;2020&lt;/year&gt;&lt;/dates&gt;&lt;urls&gt;&lt;related-urls&gt;&lt;url&gt;www.health.govt.nz/our-work/populations/maori-health/whakamaua-maori-health-action-plan-2020-2025&lt;/url&gt;&lt;/related-urls&gt;&lt;/urls&gt;&lt;/record&gt;&lt;/Cite&gt;&lt;/EndNote&gt;</w:instrText>
      </w:r>
      <w:r w:rsidRPr="0007414B">
        <w:fldChar w:fldCharType="separate"/>
      </w:r>
      <w:r w:rsidRPr="0007414B">
        <w:t>(Manatū Hauora 2020d)</w:t>
      </w:r>
      <w:r w:rsidRPr="0007414B">
        <w:fldChar w:fldCharType="end"/>
      </w:r>
      <w:r w:rsidRPr="0007414B">
        <w:t>.</w:t>
      </w:r>
    </w:p>
    <w:p w14:paraId="7EC5273F" w14:textId="77777777" w:rsidR="001E7E3E" w:rsidRPr="0007414B" w:rsidRDefault="001E7E3E" w:rsidP="001E7E3E">
      <w:pPr>
        <w:rPr>
          <w:rFonts w:cs="Segoe UI"/>
        </w:rPr>
      </w:pPr>
    </w:p>
    <w:p w14:paraId="6C7FA71A" w14:textId="77777777" w:rsidR="001E7E3E" w:rsidRPr="0007414B" w:rsidRDefault="001E7E3E" w:rsidP="001E7E3E">
      <w:pPr>
        <w:rPr>
          <w:rFonts w:cs="Segoe UI"/>
        </w:rPr>
      </w:pPr>
      <w:r w:rsidRPr="0007414B">
        <w:rPr>
          <w:rFonts w:cs="Segoe UI"/>
        </w:rPr>
        <w:t>This report contains numerous examples of unfair, avoidable and remediable differences in health outcomes and in access to health services</w:t>
      </w:r>
      <w:r w:rsidRPr="0007414B" w:rsidDel="005502CF">
        <w:rPr>
          <w:rFonts w:cs="Segoe UI"/>
        </w:rPr>
        <w:t xml:space="preserve"> </w:t>
      </w:r>
      <w:r w:rsidRPr="0007414B">
        <w:rPr>
          <w:rFonts w:cs="Segoe UI"/>
        </w:rPr>
        <w:t xml:space="preserve">between different population groups in Aotearoa New Zealand. This section details some of the many instances of inequity related to the 5 priority populations in the </w:t>
      </w:r>
      <w:r>
        <w:rPr>
          <w:rFonts w:cs="Segoe UI"/>
        </w:rPr>
        <w:t>P</w:t>
      </w:r>
      <w:r w:rsidRPr="0007414B">
        <w:rPr>
          <w:rFonts w:cs="Segoe UI"/>
        </w:rPr>
        <w:t xml:space="preserve">ae </w:t>
      </w:r>
      <w:r>
        <w:rPr>
          <w:rFonts w:cs="Segoe UI"/>
        </w:rPr>
        <w:t>O</w:t>
      </w:r>
      <w:r w:rsidRPr="0007414B">
        <w:rPr>
          <w:rFonts w:cs="Segoe UI"/>
        </w:rPr>
        <w:t xml:space="preserve">ra </w:t>
      </w:r>
      <w:r>
        <w:rPr>
          <w:rFonts w:cs="Segoe UI"/>
        </w:rPr>
        <w:t>Health S</w:t>
      </w:r>
      <w:r w:rsidRPr="0007414B">
        <w:rPr>
          <w:rFonts w:cs="Segoe UI"/>
        </w:rPr>
        <w:t xml:space="preserve">trategies. We note, however, that other population groups </w:t>
      </w:r>
      <w:r>
        <w:rPr>
          <w:rFonts w:cs="Segoe UI"/>
        </w:rPr>
        <w:t xml:space="preserve">also </w:t>
      </w:r>
      <w:r w:rsidRPr="0007414B">
        <w:rPr>
          <w:rFonts w:cs="Segoe UI"/>
        </w:rPr>
        <w:t xml:space="preserve">experience inequities that the </w:t>
      </w:r>
      <w:r>
        <w:rPr>
          <w:rFonts w:cs="Segoe UI"/>
        </w:rPr>
        <w:t>P</w:t>
      </w:r>
      <w:r w:rsidRPr="0007414B">
        <w:rPr>
          <w:rFonts w:cs="Segoe UI"/>
        </w:rPr>
        <w:t xml:space="preserve">ae </w:t>
      </w:r>
      <w:r>
        <w:rPr>
          <w:rFonts w:cs="Segoe UI"/>
        </w:rPr>
        <w:t>O</w:t>
      </w:r>
      <w:r w:rsidRPr="0007414B">
        <w:rPr>
          <w:rFonts w:cs="Segoe UI"/>
        </w:rPr>
        <w:t xml:space="preserve">ra </w:t>
      </w:r>
      <w:r>
        <w:rPr>
          <w:rFonts w:cs="Segoe UI"/>
        </w:rPr>
        <w:t>Health S</w:t>
      </w:r>
      <w:r w:rsidRPr="0007414B">
        <w:rPr>
          <w:rFonts w:cs="Segoe UI"/>
        </w:rPr>
        <w:t>trategies do not specifically</w:t>
      </w:r>
      <w:r>
        <w:rPr>
          <w:rFonts w:cs="Segoe UI"/>
        </w:rPr>
        <w:t xml:space="preserve"> </w:t>
      </w:r>
      <w:r w:rsidRPr="0007414B">
        <w:rPr>
          <w:rFonts w:cs="Segoe UI"/>
        </w:rPr>
        <w:t>cover.</w:t>
      </w:r>
      <w:r w:rsidRPr="0007414B" w:rsidDel="005502CF">
        <w:rPr>
          <w:rFonts w:cs="Segoe UI"/>
        </w:rPr>
        <w:t xml:space="preserve"> </w:t>
      </w:r>
      <w:r w:rsidRPr="0007414B">
        <w:rPr>
          <w:rFonts w:cs="Segoe UI"/>
        </w:rPr>
        <w:t>These groups include ethnic communities (including Asian populations), Rainbow/Queer/LGBTIQA+,</w:t>
      </w:r>
      <w:r w:rsidRPr="0007414B">
        <w:rPr>
          <w:rStyle w:val="FootnoteReference"/>
          <w:rFonts w:cs="Segoe UI"/>
        </w:rPr>
        <w:footnoteReference w:id="3"/>
      </w:r>
      <w:r w:rsidRPr="0007414B">
        <w:rPr>
          <w:rFonts w:cs="Segoe UI"/>
        </w:rPr>
        <w:t xml:space="preserve"> MVPFAFF</w:t>
      </w:r>
      <w:r w:rsidRPr="0007414B">
        <w:rPr>
          <w:rStyle w:val="FootnoteReference"/>
          <w:rFonts w:cs="Segoe UI"/>
        </w:rPr>
        <w:footnoteReference w:id="4"/>
      </w:r>
      <w:r w:rsidRPr="0007414B">
        <w:rPr>
          <w:rFonts w:cs="Segoe UI"/>
        </w:rPr>
        <w:t xml:space="preserve">/takatāpui groups and people living in areas with high levels of socioeconomic deprivation. </w:t>
      </w:r>
    </w:p>
    <w:p w14:paraId="76E0A3AC" w14:textId="77777777" w:rsidR="001E7E3E" w:rsidRPr="0007414B" w:rsidRDefault="001E7E3E" w:rsidP="001E7E3E">
      <w:pPr>
        <w:rPr>
          <w:rFonts w:cs="Segoe UI"/>
        </w:rPr>
      </w:pPr>
      <w:r w:rsidRPr="0007414B">
        <w:rPr>
          <w:rFonts w:cs="Segoe UI"/>
        </w:rPr>
        <w:lastRenderedPageBreak/>
        <w:t xml:space="preserve">Higher levels of socioeconomic deprivation are clearly associated with poorer health outcomes. </w:t>
      </w:r>
      <w:r w:rsidRPr="0007414B">
        <w:rPr>
          <w:rFonts w:eastAsia="Calibri Light" w:cs="Segoe UI"/>
        </w:rPr>
        <w:t xml:space="preserve">Life expectancy is around 10 years lower for people living in the most deprived areas </w:t>
      </w:r>
      <w:r w:rsidRPr="0007414B">
        <w:rPr>
          <w:rFonts w:eastAsia="Calibri Light" w:cs="Segoe UI"/>
        </w:rPr>
        <w:fldChar w:fldCharType="begin"/>
      </w:r>
      <w:r>
        <w:rPr>
          <w:rFonts w:eastAsia="Calibri Light" w:cs="Segoe UI"/>
        </w:rPr>
        <w:instrText xml:space="preserve"> ADDIN EN.CITE &lt;EndNote&gt;&lt;Cite&gt;&lt;Author&gt;Stats NZ&lt;/Author&gt;&lt;Year&gt;2021&lt;/Year&gt;&lt;RecNum&gt;339&lt;/RecNum&gt;&lt;DisplayText&gt;(Stats NZ 2021b)&lt;/DisplayText&gt;&lt;record&gt;&lt;rec-number&gt;339&lt;/rec-number&gt;&lt;foreign-keys&gt;&lt;key app="EN" db-id="aaepvppzs5wtfse95vsp2wahsrtvva2vvdet" timestamp="1683623567"&gt;339&lt;/key&gt;&lt;/foreign-keys&gt;&lt;ref-type name="Web Page"&gt;12&lt;/ref-type&gt;&lt;contributors&gt;&lt;authors&gt;&lt;author&gt;Stats NZ,&lt;/author&gt;&lt;/authors&gt;&lt;/contributors&gt;&lt;titles&gt;&lt;title&gt;Growth in life expectancy slows&lt;/title&gt;&lt;/titles&gt;&lt;number&gt;8 May 2023&lt;/number&gt;&lt;dates&gt;&lt;year&gt;2021&lt;/year&gt;&lt;/dates&gt;&lt;urls&gt;&lt;related-urls&gt;&lt;url&gt;www.stats.govt.nz/news/growth-in-life-expectancy-slows/&lt;/url&gt;&lt;/related-urls&gt;&lt;/urls&gt;&lt;/record&gt;&lt;/Cite&gt;&lt;/EndNote&gt;</w:instrText>
      </w:r>
      <w:r w:rsidRPr="0007414B">
        <w:rPr>
          <w:rFonts w:eastAsia="Calibri Light" w:cs="Segoe UI"/>
        </w:rPr>
        <w:fldChar w:fldCharType="separate"/>
      </w:r>
      <w:r w:rsidRPr="0007414B">
        <w:rPr>
          <w:rFonts w:eastAsia="Calibri Light" w:cs="Segoe UI"/>
          <w:noProof/>
        </w:rPr>
        <w:t>(Stats NZ 2021b)</w:t>
      </w:r>
      <w:r w:rsidRPr="0007414B">
        <w:rPr>
          <w:rFonts w:eastAsia="Calibri Light" w:cs="Segoe UI"/>
        </w:rPr>
        <w:fldChar w:fldCharType="end"/>
      </w:r>
      <w:r w:rsidRPr="0007414B">
        <w:rPr>
          <w:rFonts w:eastAsia="Calibri Light" w:cs="Segoe UI"/>
        </w:rPr>
        <w:t xml:space="preserve">, and the infant death rate for the most deprived areas is close to 2 times the rate of the least deprived areas </w:t>
      </w:r>
      <w:r w:rsidRPr="0007414B">
        <w:rPr>
          <w:rFonts w:eastAsia="Calibri Light" w:cs="Segoe UI"/>
        </w:rPr>
        <w:fldChar w:fldCharType="begin"/>
      </w:r>
      <w:r>
        <w:rPr>
          <w:rFonts w:eastAsia="Calibri Light" w:cs="Segoe UI"/>
        </w:rPr>
        <w:instrText xml:space="preserve"> ADDIN EN.CITE &lt;EndNote&gt;&lt;Cite&gt;&lt;Author&gt;Manatū Hauora&lt;/Author&gt;&lt;Year&gt;2019&lt;/Year&gt;&lt;RecNum&gt;340&lt;/RecNum&gt;&lt;DisplayText&gt;(Manatū Hauora 2019b; Te Whatu Ora 2023g)&lt;/DisplayText&gt;&lt;record&gt;&lt;rec-number&gt;340&lt;/rec-number&gt;&lt;foreign-keys&gt;&lt;key app="EN" db-id="aaepvppzs5wtfse95vsp2wahsrtvva2vvdet" timestamp="1683623746"&gt;340&lt;/key&gt;&lt;/foreign-keys&gt;&lt;ref-type name="Web Page"&gt;12&lt;/ref-type&gt;&lt;contributors&gt;&lt;authors&gt;&lt;author&gt;&lt;style face="normal" font="default" size="100%"&gt;Manat&lt;/style&gt;&lt;style face="normal" font="default" charset="238" size="100%"&gt;ū Hauora,&lt;/style&gt;&lt;/author&gt;&lt;/authors&gt;&lt;/contributors&gt;&lt;titles&gt;&lt;title&gt;Fetal and infant deaths 2016&lt;/title&gt;&lt;/titles&gt;&lt;number&gt;8 May 2023&lt;/number&gt;&lt;dates&gt;&lt;year&gt;2019&lt;/year&gt;&lt;/dates&gt;&lt;urls&gt;&lt;related-urls&gt;&lt;url&gt;www.health.govt.nz/publication/fetal-and-infant-deaths-2016&lt;/url&gt;&lt;/related-urls&gt;&lt;/urls&gt;&lt;/record&gt;&lt;/Cite&gt;&lt;Cite&gt;&lt;Author&gt;Te Whatu Ora&lt;/Author&gt;&lt;Year&gt;2023&lt;/Year&gt;&lt;RecNum&gt;291&lt;/RecNum&gt;&lt;record&gt;&lt;rec-number&gt;291&lt;/rec-number&gt;&lt;foreign-keys&gt;&lt;key app="EN" db-id="aaepvppzs5wtfse95vsp2wahsrtvva2vvdet" timestamp="1683250953"&gt;291&lt;/key&gt;&lt;/foreign-keys&gt;&lt;ref-type name="Web Page"&gt;12&lt;/ref-type&gt;&lt;contributors&gt;&lt;authors&gt;&lt;author&gt;Te Whatu Ora,&lt;/author&gt;&lt;/authors&gt;&lt;/contributors&gt;&lt;titles&gt;&lt;title&gt;Fetal and infant deaths web tool (Data file)&lt;/title&gt;&lt;/titles&gt;&lt;number&gt;28 April 2023&lt;/number&gt;&lt;dates&gt;&lt;year&gt;2023&lt;/year&gt;&lt;/dates&gt;&lt;urls&gt;&lt;related-urls&gt;&lt;url&gt;https://tewhatuora.shinyapps.io/fetal-and-infant-deaths-web-tool/&lt;/url&gt;&lt;/related-urls&gt;&lt;/urls&gt;&lt;/record&gt;&lt;/Cite&gt;&lt;/EndNote&gt;</w:instrText>
      </w:r>
      <w:r w:rsidRPr="0007414B">
        <w:rPr>
          <w:rFonts w:eastAsia="Calibri Light" w:cs="Segoe UI"/>
        </w:rPr>
        <w:fldChar w:fldCharType="separate"/>
      </w:r>
      <w:r w:rsidRPr="0007414B">
        <w:rPr>
          <w:rFonts w:eastAsia="Calibri Light" w:cs="Segoe UI"/>
          <w:noProof/>
        </w:rPr>
        <w:t>(Manatū Hauora 2019b; Te Whatu Ora 2023g)</w:t>
      </w:r>
      <w:r w:rsidRPr="0007414B">
        <w:rPr>
          <w:rFonts w:eastAsia="Calibri Light" w:cs="Segoe UI"/>
        </w:rPr>
        <w:fldChar w:fldCharType="end"/>
      </w:r>
      <w:r w:rsidRPr="0007414B">
        <w:rPr>
          <w:rFonts w:eastAsia="Calibri Light" w:cs="Segoe UI"/>
        </w:rPr>
        <w:t xml:space="preserve">. </w:t>
      </w:r>
      <w:r w:rsidRPr="0007414B">
        <w:rPr>
          <w:rFonts w:cs="Segoe UI"/>
        </w:rPr>
        <w:t>Māori and Pacific populations are over-represented in the most deprived areas (quintile 5): 43.0% of the Māori population</w:t>
      </w:r>
      <w:r w:rsidRPr="0007414B" w:rsidDel="00252078">
        <w:rPr>
          <w:rFonts w:cs="Segoe UI"/>
        </w:rPr>
        <w:t xml:space="preserve"> </w:t>
      </w:r>
      <w:r w:rsidRPr="0007414B">
        <w:rPr>
          <w:rFonts w:cs="Segoe UI"/>
        </w:rPr>
        <w:t xml:space="preserve">and 55.8% of the Pacific population live in quintile 5 </w:t>
      </w:r>
      <w:r w:rsidRPr="0007414B">
        <w:rPr>
          <w:rFonts w:cs="Segoe UI"/>
        </w:rPr>
        <w:fldChar w:fldCharType="begin"/>
      </w:r>
      <w:r w:rsidRPr="0007414B">
        <w:rPr>
          <w:rFonts w:cs="Segoe UI"/>
        </w:rPr>
        <w:instrText xml:space="preserve"> ADDIN EN.CITE &lt;EndNote&gt;&lt;Cite&gt;&lt;Author&gt;Te Whatu Ora&lt;/Author&gt;&lt;Year&gt;2023&lt;/Year&gt;&lt;RecNum&gt;246&lt;/RecNum&gt;&lt;DisplayText&gt;(Te Whatu Ora 2023l)&lt;/DisplayText&gt;&lt;record&gt;&lt;rec-number&gt;246&lt;/rec-number&gt;&lt;foreign-keys&gt;&lt;key app="EN" db-id="aaepvppzs5wtfse95vsp2wahsrtvva2vvdet" timestamp="1664483989"&gt;246&lt;/key&gt;&lt;/foreign-keys&gt;&lt;ref-type name="Web Page"&gt;12&lt;/ref-type&gt;&lt;contributors&gt;&lt;authors&gt;&lt;author&gt;Te Whatu Ora,&lt;/author&gt;&lt;/authors&gt;&lt;/contributors&gt;&lt;titles&gt;&lt;title&gt;Populations web tool (Data file)&lt;/title&gt;&lt;/titles&gt;&lt;number&gt;25 April 2023&lt;/number&gt;&lt;dates&gt;&lt;year&gt;2023&lt;/year&gt;&lt;/dates&gt;&lt;urls&gt;&lt;related-urls&gt;&lt;url&gt;Unpublished data&lt;/url&gt;&lt;/related-urls&gt;&lt;/urls&gt;&lt;/record&gt;&lt;/Cite&gt;&lt;/EndNote&gt;</w:instrText>
      </w:r>
      <w:r w:rsidRPr="0007414B">
        <w:rPr>
          <w:rFonts w:cs="Segoe UI"/>
        </w:rPr>
        <w:fldChar w:fldCharType="separate"/>
      </w:r>
      <w:r w:rsidRPr="0007414B">
        <w:rPr>
          <w:rFonts w:cs="Segoe UI"/>
        </w:rPr>
        <w:t>(Te Whatu Ora 2023l)</w:t>
      </w:r>
      <w:r w:rsidRPr="0007414B">
        <w:rPr>
          <w:rFonts w:cs="Segoe UI"/>
        </w:rPr>
        <w:fldChar w:fldCharType="end"/>
      </w:r>
      <w:r w:rsidRPr="0007414B">
        <w:rPr>
          <w:rFonts w:cs="Segoe UI"/>
        </w:rPr>
        <w:t xml:space="preserve">. This contrasts with </w:t>
      </w:r>
      <w:r>
        <w:rPr>
          <w:rFonts w:cs="Segoe UI"/>
        </w:rPr>
        <w:t>fewer people in</w:t>
      </w:r>
      <w:r w:rsidRPr="0007414B">
        <w:rPr>
          <w:rFonts w:cs="Segoe UI"/>
        </w:rPr>
        <w:t xml:space="preserve"> the European/other </w:t>
      </w:r>
      <w:r>
        <w:rPr>
          <w:rFonts w:cs="Segoe UI"/>
        </w:rPr>
        <w:t>(</w:t>
      </w:r>
      <w:r w:rsidRPr="0007414B">
        <w:rPr>
          <w:rFonts w:cs="Segoe UI"/>
        </w:rPr>
        <w:t>12.5%</w:t>
      </w:r>
      <w:r>
        <w:rPr>
          <w:rFonts w:cs="Segoe UI"/>
        </w:rPr>
        <w:t>)</w:t>
      </w:r>
      <w:r w:rsidRPr="0007414B">
        <w:rPr>
          <w:rFonts w:cs="Segoe UI"/>
        </w:rPr>
        <w:t xml:space="preserve"> and Asian </w:t>
      </w:r>
      <w:r>
        <w:rPr>
          <w:rFonts w:cs="Segoe UI"/>
        </w:rPr>
        <w:t>(</w:t>
      </w:r>
      <w:r w:rsidRPr="0007414B">
        <w:rPr>
          <w:rFonts w:cs="Segoe UI"/>
        </w:rPr>
        <w:t>17.6%</w:t>
      </w:r>
      <w:r>
        <w:rPr>
          <w:rFonts w:cs="Segoe UI"/>
        </w:rPr>
        <w:t>)</w:t>
      </w:r>
      <w:r w:rsidRPr="0007414B">
        <w:rPr>
          <w:rFonts w:cs="Segoe UI"/>
        </w:rPr>
        <w:t xml:space="preserve"> population</w:t>
      </w:r>
      <w:r>
        <w:rPr>
          <w:rFonts w:cs="Segoe UI"/>
        </w:rPr>
        <w:t>s</w:t>
      </w:r>
      <w:r w:rsidRPr="0007414B">
        <w:rPr>
          <w:rFonts w:cs="Segoe UI"/>
        </w:rPr>
        <w:t xml:space="preserve"> living in quintile 5 areas.</w:t>
      </w:r>
    </w:p>
    <w:p w14:paraId="27B0361C" w14:textId="43E693CD" w:rsidR="00025EAD" w:rsidRDefault="00025EAD" w:rsidP="00025EAD">
      <w:pPr>
        <w:pStyle w:val="Heading3"/>
        <w:rPr>
          <w:rFonts w:eastAsia="Arial Unicode MS"/>
        </w:rPr>
      </w:pPr>
      <w:r w:rsidRPr="00025EAD">
        <w:rPr>
          <w:rFonts w:eastAsia="Arial Unicode MS"/>
        </w:rPr>
        <w:t>Health of Māori, Pacific peoples and disabled people</w:t>
      </w:r>
    </w:p>
    <w:p w14:paraId="675E5B5F" w14:textId="3328C076" w:rsidR="001E7E3E" w:rsidRDefault="001E7E3E" w:rsidP="001E7E3E">
      <w:pPr>
        <w:rPr>
          <w:rFonts w:eastAsia="Arial Unicode MS"/>
        </w:rPr>
      </w:pPr>
      <w:r w:rsidRPr="001E7E3E">
        <w:rPr>
          <w:rFonts w:eastAsia="Arial Unicode MS"/>
        </w:rPr>
        <w:t>There are many instances of inequity for the priority populations of Māori, Pacific peoples and disabled people, some of these are highlighted in Table 1.</w:t>
      </w:r>
    </w:p>
    <w:p w14:paraId="3D6C2E68" w14:textId="77777777" w:rsidR="001E7E3E" w:rsidRPr="001E7E3E" w:rsidRDefault="001E7E3E" w:rsidP="001E7E3E">
      <w:pPr>
        <w:rPr>
          <w:rFonts w:eastAsia="Arial Unicode MS"/>
        </w:rPr>
      </w:pPr>
    </w:p>
    <w:p w14:paraId="7FC0F8B5" w14:textId="01F5A5D9" w:rsidR="00025EAD" w:rsidRDefault="001E7E3E" w:rsidP="001E7E3E">
      <w:pPr>
        <w:pStyle w:val="Table"/>
        <w:rPr>
          <w:rFonts w:eastAsia="Arial Unicode MS"/>
        </w:rPr>
      </w:pPr>
      <w:bookmarkStart w:id="12" w:name="_Toc138409977"/>
      <w:r>
        <w:t xml:space="preserve">Table </w:t>
      </w:r>
      <w:fldSimple w:instr=" SEQ Table \* ARABIC ">
        <w:r w:rsidR="00BE208D">
          <w:rPr>
            <w:noProof/>
          </w:rPr>
          <w:t>1</w:t>
        </w:r>
      </w:fldSimple>
      <w:r>
        <w:t xml:space="preserve">: </w:t>
      </w:r>
      <w:r w:rsidRPr="001E7E3E">
        <w:rPr>
          <w:rFonts w:eastAsia="Arial Unicode MS"/>
        </w:rPr>
        <w:t>Examples of inequity for Māori, Pacific peoples and disabled people compared with the total population</w:t>
      </w:r>
      <w:bookmarkEnd w:id="12"/>
    </w:p>
    <w:tbl>
      <w:tblPr>
        <w:tblStyle w:val="TableGrid"/>
        <w:tblW w:w="5439"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39"/>
        <w:gridCol w:w="2274"/>
        <w:gridCol w:w="2269"/>
        <w:gridCol w:w="2406"/>
      </w:tblGrid>
      <w:tr w:rsidR="00B51F42" w:rsidRPr="0007414B" w14:paraId="1382B7A8" w14:textId="77777777" w:rsidTr="00B51F42">
        <w:tc>
          <w:tcPr>
            <w:tcW w:w="1046" w:type="pct"/>
            <w:tcBorders>
              <w:top w:val="nil"/>
              <w:bottom w:val="nil"/>
            </w:tcBorders>
            <w:shd w:val="clear" w:color="auto" w:fill="D9D9D9" w:themeFill="background1" w:themeFillShade="D9"/>
          </w:tcPr>
          <w:p w14:paraId="3425FAC3" w14:textId="77777777" w:rsidR="001E7E3E" w:rsidRPr="00B51F42" w:rsidRDefault="001E7E3E" w:rsidP="00B51F42">
            <w:pPr>
              <w:pStyle w:val="TableText"/>
              <w:jc w:val="center"/>
              <w:rPr>
                <w:b/>
                <w:bCs/>
              </w:rPr>
            </w:pPr>
            <w:r w:rsidRPr="00B51F42">
              <w:rPr>
                <w:b/>
                <w:bCs/>
              </w:rPr>
              <w:t>Total population</w:t>
            </w:r>
          </w:p>
        </w:tc>
        <w:tc>
          <w:tcPr>
            <w:tcW w:w="1294" w:type="pct"/>
            <w:tcBorders>
              <w:top w:val="nil"/>
              <w:bottom w:val="nil"/>
            </w:tcBorders>
            <w:shd w:val="clear" w:color="auto" w:fill="D9D9D9" w:themeFill="background1" w:themeFillShade="D9"/>
          </w:tcPr>
          <w:p w14:paraId="3011CA28" w14:textId="77777777" w:rsidR="001E7E3E" w:rsidRPr="00B51F42" w:rsidRDefault="001E7E3E" w:rsidP="00B51F42">
            <w:pPr>
              <w:pStyle w:val="TableText"/>
              <w:jc w:val="center"/>
              <w:rPr>
                <w:b/>
                <w:bCs/>
              </w:rPr>
            </w:pPr>
            <w:r w:rsidRPr="00B51F42">
              <w:rPr>
                <w:b/>
                <w:bCs/>
              </w:rPr>
              <w:t>Māori</w:t>
            </w:r>
          </w:p>
        </w:tc>
        <w:tc>
          <w:tcPr>
            <w:tcW w:w="1291" w:type="pct"/>
            <w:tcBorders>
              <w:top w:val="nil"/>
              <w:bottom w:val="nil"/>
            </w:tcBorders>
            <w:shd w:val="clear" w:color="auto" w:fill="D9D9D9" w:themeFill="background1" w:themeFillShade="D9"/>
          </w:tcPr>
          <w:p w14:paraId="35853DAB" w14:textId="77777777" w:rsidR="001E7E3E" w:rsidRPr="00B51F42" w:rsidRDefault="001E7E3E" w:rsidP="00B51F42">
            <w:pPr>
              <w:pStyle w:val="TableText"/>
              <w:jc w:val="center"/>
              <w:rPr>
                <w:rFonts w:eastAsiaTheme="majorEastAsia"/>
                <w:b/>
                <w:bCs/>
                <w:lang w:eastAsia="en-US"/>
              </w:rPr>
            </w:pPr>
            <w:r w:rsidRPr="00B51F42">
              <w:rPr>
                <w:b/>
                <w:bCs/>
              </w:rPr>
              <w:t>Pacific peoples</w:t>
            </w:r>
          </w:p>
        </w:tc>
        <w:tc>
          <w:tcPr>
            <w:tcW w:w="1369" w:type="pct"/>
            <w:tcBorders>
              <w:top w:val="nil"/>
              <w:bottom w:val="nil"/>
            </w:tcBorders>
            <w:shd w:val="clear" w:color="auto" w:fill="D9D9D9" w:themeFill="background1" w:themeFillShade="D9"/>
          </w:tcPr>
          <w:p w14:paraId="539B9A7E" w14:textId="77777777" w:rsidR="001E7E3E" w:rsidRPr="00B51F42" w:rsidRDefault="001E7E3E" w:rsidP="00B51F42">
            <w:pPr>
              <w:pStyle w:val="TableText"/>
              <w:jc w:val="center"/>
              <w:rPr>
                <w:rFonts w:eastAsiaTheme="majorEastAsia"/>
                <w:b/>
                <w:bCs/>
              </w:rPr>
            </w:pPr>
            <w:r w:rsidRPr="00B51F42">
              <w:rPr>
                <w:rFonts w:eastAsiaTheme="majorEastAsia"/>
                <w:b/>
                <w:bCs/>
              </w:rPr>
              <w:t>Disabled people</w:t>
            </w:r>
          </w:p>
        </w:tc>
      </w:tr>
      <w:tr w:rsidR="00B51F42" w:rsidRPr="0007414B" w14:paraId="4BBEEC8E" w14:textId="77777777" w:rsidTr="00B51F42">
        <w:tc>
          <w:tcPr>
            <w:tcW w:w="1046" w:type="pct"/>
            <w:tcBorders>
              <w:top w:val="nil"/>
            </w:tcBorders>
          </w:tcPr>
          <w:p w14:paraId="18CC6061" w14:textId="77777777" w:rsidR="001E7E3E" w:rsidRPr="0007414B" w:rsidRDefault="001E7E3E" w:rsidP="00B51F42">
            <w:pPr>
              <w:pStyle w:val="TableText"/>
              <w:jc w:val="center"/>
            </w:pPr>
            <w:r w:rsidRPr="0007414B">
              <w:t>Life expectancy</w:t>
            </w:r>
          </w:p>
          <w:p w14:paraId="739A337D" w14:textId="77777777" w:rsidR="001E7E3E" w:rsidRPr="0007414B" w:rsidRDefault="001E7E3E" w:rsidP="00B51F42">
            <w:pPr>
              <w:pStyle w:val="TableText"/>
              <w:jc w:val="center"/>
            </w:pPr>
            <w:r w:rsidRPr="0007414B">
              <w:t>Men: 80.0 years</w:t>
            </w:r>
          </w:p>
          <w:p w14:paraId="7DB642D5" w14:textId="77777777" w:rsidR="001E7E3E" w:rsidRPr="0007414B" w:rsidRDefault="001E7E3E" w:rsidP="00B51F42">
            <w:pPr>
              <w:pStyle w:val="TableText"/>
              <w:jc w:val="center"/>
            </w:pPr>
            <w:r w:rsidRPr="0007414B">
              <w:t>Women: 84.5 years</w:t>
            </w:r>
          </w:p>
        </w:tc>
        <w:tc>
          <w:tcPr>
            <w:tcW w:w="1294" w:type="pct"/>
            <w:tcBorders>
              <w:top w:val="nil"/>
            </w:tcBorders>
          </w:tcPr>
          <w:p w14:paraId="542EF278" w14:textId="77777777" w:rsidR="001E7E3E" w:rsidRPr="0007414B" w:rsidRDefault="001E7E3E" w:rsidP="00B51F42">
            <w:pPr>
              <w:pStyle w:val="TableText"/>
              <w:jc w:val="center"/>
            </w:pPr>
            <w:r w:rsidRPr="0007414B">
              <w:t>Seven years less than non-Māori</w:t>
            </w:r>
          </w:p>
          <w:p w14:paraId="2818C0A2" w14:textId="77777777" w:rsidR="001E7E3E" w:rsidRPr="0007414B" w:rsidRDefault="001E7E3E" w:rsidP="00B51F42">
            <w:pPr>
              <w:pStyle w:val="TableText"/>
              <w:jc w:val="center"/>
            </w:pPr>
            <w:r w:rsidRPr="0007414B">
              <w:t>Māori men: 73.4 years</w:t>
            </w:r>
          </w:p>
          <w:p w14:paraId="58A2D4ED" w14:textId="77777777" w:rsidR="001E7E3E" w:rsidRPr="0007414B" w:rsidRDefault="001E7E3E" w:rsidP="00B51F42">
            <w:pPr>
              <w:pStyle w:val="TableText"/>
              <w:jc w:val="center"/>
            </w:pPr>
            <w:r w:rsidRPr="0007414B">
              <w:t>Māori women: 77.1 years</w:t>
            </w:r>
          </w:p>
        </w:tc>
        <w:tc>
          <w:tcPr>
            <w:tcW w:w="1291" w:type="pct"/>
            <w:tcBorders>
              <w:top w:val="nil"/>
            </w:tcBorders>
          </w:tcPr>
          <w:p w14:paraId="79CF6C46" w14:textId="77777777" w:rsidR="001E7E3E" w:rsidRPr="0007414B" w:rsidRDefault="001E7E3E" w:rsidP="00B51F42">
            <w:pPr>
              <w:pStyle w:val="TableText"/>
              <w:jc w:val="center"/>
            </w:pPr>
            <w:r w:rsidRPr="0007414B">
              <w:t>Five years less than non-Pacific peoples</w:t>
            </w:r>
          </w:p>
          <w:p w14:paraId="2579B404" w14:textId="77777777" w:rsidR="001E7E3E" w:rsidRPr="0007414B" w:rsidRDefault="001E7E3E" w:rsidP="00B51F42">
            <w:pPr>
              <w:pStyle w:val="TableText"/>
              <w:jc w:val="center"/>
            </w:pPr>
            <w:r w:rsidRPr="0007414B">
              <w:t>Pacific men: 75.4 years</w:t>
            </w:r>
          </w:p>
          <w:p w14:paraId="48FBB739" w14:textId="77777777" w:rsidR="001E7E3E" w:rsidRPr="0007414B" w:rsidRDefault="001E7E3E" w:rsidP="00B51F42">
            <w:pPr>
              <w:pStyle w:val="TableText"/>
              <w:jc w:val="center"/>
            </w:pPr>
            <w:r w:rsidRPr="0007414B">
              <w:t>Pacific women: 79.0 years</w:t>
            </w:r>
          </w:p>
        </w:tc>
        <w:tc>
          <w:tcPr>
            <w:tcW w:w="1369" w:type="pct"/>
            <w:tcBorders>
              <w:top w:val="nil"/>
            </w:tcBorders>
          </w:tcPr>
          <w:p w14:paraId="7BB0E144" w14:textId="77777777" w:rsidR="001E7E3E" w:rsidRPr="0007414B" w:rsidRDefault="001E7E3E" w:rsidP="00B51F42">
            <w:pPr>
              <w:pStyle w:val="TableText"/>
              <w:jc w:val="center"/>
            </w:pPr>
            <w:r w:rsidRPr="0007414B">
              <w:t>Life expectancy is not known, but disabled adults are markedly less likely to report being in good, very good or excellent health (59.2%) than non-disabled adults (90.5%)*</w:t>
            </w:r>
          </w:p>
        </w:tc>
      </w:tr>
      <w:tr w:rsidR="00B51F42" w:rsidRPr="0007414B" w14:paraId="4BFEE0FA" w14:textId="77777777" w:rsidTr="00B51F42">
        <w:tc>
          <w:tcPr>
            <w:tcW w:w="1046" w:type="pct"/>
          </w:tcPr>
          <w:p w14:paraId="7685F15A" w14:textId="77777777" w:rsidR="001E7E3E" w:rsidRPr="0007414B" w:rsidRDefault="001E7E3E" w:rsidP="00B51F42">
            <w:pPr>
              <w:pStyle w:val="TableText"/>
              <w:jc w:val="center"/>
            </w:pPr>
            <w:r w:rsidRPr="0007414B">
              <w:rPr>
                <w:rFonts w:eastAsia="Noto Sans"/>
                <w:color w:val="000000" w:themeColor="text1"/>
              </w:rPr>
              <w:t>Children living in material hardship: 10.3%</w:t>
            </w:r>
          </w:p>
        </w:tc>
        <w:tc>
          <w:tcPr>
            <w:tcW w:w="1294" w:type="pct"/>
          </w:tcPr>
          <w:p w14:paraId="0B890DDF" w14:textId="77777777" w:rsidR="001E7E3E" w:rsidRPr="0007414B" w:rsidRDefault="001E7E3E" w:rsidP="00B51F42">
            <w:pPr>
              <w:pStyle w:val="TableText"/>
              <w:jc w:val="center"/>
            </w:pPr>
            <w:r w:rsidRPr="0007414B">
              <w:rPr>
                <w:rFonts w:eastAsia="Noto Sans"/>
                <w:color w:val="000000" w:themeColor="text1"/>
              </w:rPr>
              <w:t>Māori children: 18.8%</w:t>
            </w:r>
          </w:p>
          <w:p w14:paraId="23E5E760" w14:textId="77777777" w:rsidR="001E7E3E" w:rsidRPr="0007414B" w:rsidRDefault="001E7E3E" w:rsidP="00B51F42">
            <w:pPr>
              <w:pStyle w:val="TableText"/>
              <w:jc w:val="center"/>
            </w:pPr>
          </w:p>
        </w:tc>
        <w:tc>
          <w:tcPr>
            <w:tcW w:w="1291" w:type="pct"/>
          </w:tcPr>
          <w:p w14:paraId="45EA0CAA" w14:textId="77777777" w:rsidR="001E7E3E" w:rsidRPr="0007414B" w:rsidRDefault="001E7E3E" w:rsidP="00B51F42">
            <w:pPr>
              <w:pStyle w:val="TableText"/>
              <w:jc w:val="center"/>
            </w:pPr>
            <w:r w:rsidRPr="0007414B">
              <w:rPr>
                <w:rFonts w:eastAsia="Noto Sans"/>
                <w:color w:val="000000" w:themeColor="text1"/>
              </w:rPr>
              <w:t>Pacific children: 25.6%</w:t>
            </w:r>
          </w:p>
          <w:p w14:paraId="3EF4B7D7" w14:textId="77777777" w:rsidR="001E7E3E" w:rsidRPr="0007414B" w:rsidRDefault="001E7E3E" w:rsidP="00B51F42">
            <w:pPr>
              <w:pStyle w:val="TableText"/>
              <w:jc w:val="center"/>
              <w:rPr>
                <w:rFonts w:eastAsia="Calibri Light"/>
              </w:rPr>
            </w:pPr>
          </w:p>
        </w:tc>
        <w:tc>
          <w:tcPr>
            <w:tcW w:w="1369" w:type="pct"/>
          </w:tcPr>
          <w:p w14:paraId="4D3D8407" w14:textId="77777777" w:rsidR="001E7E3E" w:rsidRPr="0007414B" w:rsidRDefault="001E7E3E" w:rsidP="00B51F42">
            <w:pPr>
              <w:pStyle w:val="TableText"/>
              <w:jc w:val="center"/>
            </w:pPr>
            <w:r w:rsidRPr="0007414B">
              <w:rPr>
                <w:rFonts w:eastAsia="Noto Sans"/>
                <w:color w:val="000000" w:themeColor="text1"/>
              </w:rPr>
              <w:t>Disabled children and children living in a household with at least one disabled person: 21.5%</w:t>
            </w:r>
          </w:p>
        </w:tc>
      </w:tr>
      <w:tr w:rsidR="00B51F42" w:rsidRPr="0007414B" w14:paraId="05320969" w14:textId="77777777" w:rsidTr="00B51F42">
        <w:tc>
          <w:tcPr>
            <w:tcW w:w="1046" w:type="pct"/>
          </w:tcPr>
          <w:p w14:paraId="0C09A7E5" w14:textId="77777777" w:rsidR="001E7E3E" w:rsidRPr="0007414B" w:rsidRDefault="001E7E3E" w:rsidP="00B51F42">
            <w:pPr>
              <w:pStyle w:val="TableText"/>
              <w:jc w:val="center"/>
            </w:pPr>
            <w:r w:rsidRPr="0007414B">
              <w:t>Psychological distress: 9.4%*</w:t>
            </w:r>
          </w:p>
        </w:tc>
        <w:tc>
          <w:tcPr>
            <w:tcW w:w="1294" w:type="pct"/>
          </w:tcPr>
          <w:p w14:paraId="697AC432" w14:textId="77777777" w:rsidR="001E7E3E" w:rsidRPr="0007414B" w:rsidRDefault="001E7E3E" w:rsidP="00B51F42">
            <w:pPr>
              <w:pStyle w:val="TableText"/>
              <w:jc w:val="center"/>
            </w:pPr>
            <w:r w:rsidRPr="0007414B">
              <w:t>Māori adults: 15.7%*</w:t>
            </w:r>
          </w:p>
        </w:tc>
        <w:tc>
          <w:tcPr>
            <w:tcW w:w="1291" w:type="pct"/>
          </w:tcPr>
          <w:p w14:paraId="25C5A15C" w14:textId="77777777" w:rsidR="001E7E3E" w:rsidRPr="0007414B" w:rsidRDefault="001E7E3E" w:rsidP="00B51F42">
            <w:pPr>
              <w:pStyle w:val="TableText"/>
              <w:jc w:val="center"/>
            </w:pPr>
            <w:r w:rsidRPr="0007414B">
              <w:rPr>
                <w:rFonts w:eastAsia="Calibri Light"/>
              </w:rPr>
              <w:t>Pacific adults: 13.3%*</w:t>
            </w:r>
          </w:p>
          <w:p w14:paraId="29CC0F2E" w14:textId="77777777" w:rsidR="001E7E3E" w:rsidRPr="0007414B" w:rsidRDefault="001E7E3E" w:rsidP="00B51F42">
            <w:pPr>
              <w:pStyle w:val="TableText"/>
              <w:jc w:val="center"/>
            </w:pPr>
          </w:p>
        </w:tc>
        <w:tc>
          <w:tcPr>
            <w:tcW w:w="1369" w:type="pct"/>
          </w:tcPr>
          <w:p w14:paraId="146F1980" w14:textId="77777777" w:rsidR="001E7E3E" w:rsidRPr="0007414B" w:rsidRDefault="001E7E3E" w:rsidP="00B51F42">
            <w:pPr>
              <w:pStyle w:val="TableText"/>
              <w:jc w:val="center"/>
            </w:pPr>
            <w:r w:rsidRPr="0007414B">
              <w:t>Disabled adults: 29.2%*</w:t>
            </w:r>
          </w:p>
        </w:tc>
      </w:tr>
      <w:tr w:rsidR="00B51F42" w:rsidRPr="0007414B" w14:paraId="3676C746" w14:textId="77777777" w:rsidTr="00B51F42">
        <w:tc>
          <w:tcPr>
            <w:tcW w:w="1046" w:type="pct"/>
          </w:tcPr>
          <w:p w14:paraId="6B9FC6AD" w14:textId="77777777" w:rsidR="001E7E3E" w:rsidRPr="0007414B" w:rsidRDefault="001E7E3E" w:rsidP="00B51F42">
            <w:pPr>
              <w:pStyle w:val="TableText"/>
              <w:jc w:val="center"/>
            </w:pPr>
            <w:r w:rsidRPr="0007414B">
              <w:rPr>
                <w:rFonts w:eastAsia="Noto Sans"/>
                <w:color w:val="000000" w:themeColor="text1"/>
              </w:rPr>
              <w:t>Daily smokers: 9.7%*</w:t>
            </w:r>
          </w:p>
        </w:tc>
        <w:tc>
          <w:tcPr>
            <w:tcW w:w="1294" w:type="pct"/>
          </w:tcPr>
          <w:p w14:paraId="6B95CA44" w14:textId="77777777" w:rsidR="001E7E3E" w:rsidRPr="0007414B" w:rsidRDefault="001E7E3E" w:rsidP="00B51F42">
            <w:pPr>
              <w:pStyle w:val="TableText"/>
              <w:jc w:val="center"/>
            </w:pPr>
            <w:r w:rsidRPr="0007414B">
              <w:rPr>
                <w:rFonts w:eastAsia="Noto Sans"/>
                <w:color w:val="000000" w:themeColor="text1"/>
              </w:rPr>
              <w:t>Māori adults: 23.5%*</w:t>
            </w:r>
          </w:p>
        </w:tc>
        <w:tc>
          <w:tcPr>
            <w:tcW w:w="1291" w:type="pct"/>
          </w:tcPr>
          <w:p w14:paraId="6C7D7070" w14:textId="77777777" w:rsidR="001E7E3E" w:rsidRPr="0007414B" w:rsidRDefault="001E7E3E" w:rsidP="00B51F42">
            <w:pPr>
              <w:pStyle w:val="TableText"/>
              <w:jc w:val="center"/>
            </w:pPr>
            <w:r w:rsidRPr="0007414B">
              <w:rPr>
                <w:rFonts w:eastAsia="Calibri Light"/>
              </w:rPr>
              <w:t>Pacific adults 17.6%*</w:t>
            </w:r>
          </w:p>
        </w:tc>
        <w:tc>
          <w:tcPr>
            <w:tcW w:w="1369" w:type="pct"/>
          </w:tcPr>
          <w:p w14:paraId="234F5B85" w14:textId="77777777" w:rsidR="001E7E3E" w:rsidRPr="0007414B" w:rsidRDefault="001E7E3E" w:rsidP="00B51F42">
            <w:pPr>
              <w:pStyle w:val="TableText"/>
              <w:jc w:val="center"/>
            </w:pPr>
            <w:r w:rsidRPr="0007414B">
              <w:t>Disabled adults: 15.0%*</w:t>
            </w:r>
          </w:p>
        </w:tc>
      </w:tr>
    </w:tbl>
    <w:p w14:paraId="205DE6E0" w14:textId="77777777" w:rsidR="00B51F42" w:rsidRPr="00B51F42" w:rsidRDefault="00B51F42" w:rsidP="00B51F42">
      <w:pPr>
        <w:pStyle w:val="Note"/>
        <w:rPr>
          <w:rFonts w:eastAsia="Arial Unicode MS"/>
        </w:rPr>
      </w:pPr>
      <w:r w:rsidRPr="00B51F42">
        <w:rPr>
          <w:rFonts w:eastAsia="Arial Unicode MS"/>
        </w:rPr>
        <w:t>* Three-year pooled period ending 2021/22</w:t>
      </w:r>
    </w:p>
    <w:p w14:paraId="73070DF8" w14:textId="77777777" w:rsidR="00B51F42" w:rsidRPr="00B51F42" w:rsidRDefault="00B51F42" w:rsidP="00B51F42">
      <w:pPr>
        <w:pStyle w:val="Source"/>
      </w:pPr>
      <w:r w:rsidRPr="00B51F42">
        <w:t xml:space="preserve">Source: </w:t>
      </w:r>
      <w:hyperlink r:id="rId29">
        <w:r w:rsidRPr="00B51F42">
          <w:rPr>
            <w:rStyle w:val="Hyperlink"/>
          </w:rPr>
          <w:t>Stats NZ (2021c)</w:t>
        </w:r>
      </w:hyperlink>
      <w:r w:rsidRPr="00B51F42">
        <w:t xml:space="preserve">, </w:t>
      </w:r>
      <w:hyperlink r:id="rId30">
        <w:r w:rsidRPr="00B51F42">
          <w:rPr>
            <w:rStyle w:val="Hyperlink"/>
          </w:rPr>
          <w:t>Stats NZ 2023b</w:t>
        </w:r>
      </w:hyperlink>
      <w:r w:rsidRPr="00B51F42">
        <w:t xml:space="preserve"> and </w:t>
      </w:r>
      <w:hyperlink r:id="rId31" w:anchor="!/home">
        <w:r w:rsidRPr="00B51F42">
          <w:rPr>
            <w:rStyle w:val="Hyperlink"/>
          </w:rPr>
          <w:t>Manatū Hauora (2023a)</w:t>
        </w:r>
      </w:hyperlink>
      <w:r w:rsidRPr="00B51F42">
        <w:t xml:space="preserve"> </w:t>
      </w:r>
    </w:p>
    <w:p w14:paraId="3CE50DB6" w14:textId="5843AC29" w:rsidR="00025EAD" w:rsidRDefault="00025EAD" w:rsidP="00025EAD">
      <w:pPr>
        <w:pStyle w:val="Heading3"/>
        <w:rPr>
          <w:rFonts w:eastAsia="Arial Unicode MS"/>
        </w:rPr>
      </w:pPr>
      <w:r w:rsidRPr="00025EAD">
        <w:rPr>
          <w:rFonts w:eastAsia="Arial Unicode MS"/>
        </w:rPr>
        <w:t>Women’s health</w:t>
      </w:r>
    </w:p>
    <w:p w14:paraId="01EF5DA9" w14:textId="77777777" w:rsidR="00B51F42" w:rsidRPr="00B51F42" w:rsidRDefault="00B51F42" w:rsidP="00B51F42">
      <w:pPr>
        <w:pStyle w:val="Bullet"/>
        <w:rPr>
          <w:rFonts w:eastAsia="Arial Unicode MS"/>
        </w:rPr>
      </w:pPr>
      <w:r w:rsidRPr="00B51F42">
        <w:rPr>
          <w:rFonts w:eastAsia="Arial Unicode MS"/>
        </w:rPr>
        <w:t xml:space="preserve">Wāhine Māori, Pacific women and women living in higher deprivation areas suffer a greater burden of maternal mortality (Te Tāhū Hauora 2022a). </w:t>
      </w:r>
    </w:p>
    <w:p w14:paraId="56E8DE7B" w14:textId="77777777" w:rsidR="00B51F42" w:rsidRPr="00B51F42" w:rsidRDefault="00B51F42" w:rsidP="00B51F42">
      <w:pPr>
        <w:pStyle w:val="Bullet"/>
        <w:rPr>
          <w:rFonts w:eastAsia="Arial Unicode MS"/>
        </w:rPr>
      </w:pPr>
      <w:r w:rsidRPr="00B51F42">
        <w:rPr>
          <w:rFonts w:eastAsia="Arial Unicode MS"/>
        </w:rPr>
        <w:t xml:space="preserve">Nearly 1 in 4 (23.6%) young women aged 15–24 years experience high or very high levels of psychological distress. </w:t>
      </w:r>
    </w:p>
    <w:p w14:paraId="3EABF678" w14:textId="77777777" w:rsidR="00B51F42" w:rsidRPr="00B51F42" w:rsidRDefault="00B51F42" w:rsidP="00B51F42">
      <w:pPr>
        <w:pStyle w:val="Bullet"/>
        <w:rPr>
          <w:rFonts w:eastAsia="Arial Unicode MS"/>
        </w:rPr>
      </w:pPr>
      <w:r w:rsidRPr="00B51F42">
        <w:rPr>
          <w:rFonts w:eastAsia="Arial Unicode MS"/>
        </w:rPr>
        <w:t xml:space="preserve">A higher percentage of women (22.2%) experience chronic pain than men (19.1%). This inequity is especially evident in older age groups where 34.1% of women over </w:t>
      </w:r>
      <w:r w:rsidRPr="00B51F42">
        <w:rPr>
          <w:rFonts w:eastAsia="Arial Unicode MS"/>
        </w:rPr>
        <w:lastRenderedPageBreak/>
        <w:t>75 years of age experience chronic pain, compared with 28.5% of men in that age group.</w:t>
      </w:r>
    </w:p>
    <w:p w14:paraId="661B25A5" w14:textId="77777777" w:rsidR="00B51F42" w:rsidRPr="00B51F42" w:rsidRDefault="00B51F42" w:rsidP="00B51F42">
      <w:pPr>
        <w:pStyle w:val="Bullet"/>
        <w:rPr>
          <w:rFonts w:eastAsia="Arial Unicode MS"/>
        </w:rPr>
      </w:pPr>
      <w:r w:rsidRPr="00B51F42">
        <w:rPr>
          <w:rFonts w:eastAsia="Arial Unicode MS"/>
        </w:rPr>
        <w:t>Women aged under 65 years are significantly more likely than men to have had an unmet need for a general practitioner (GP) and for dental health care due to cost.</w:t>
      </w:r>
    </w:p>
    <w:p w14:paraId="3A8012CB" w14:textId="77777777" w:rsidR="00B51F42" w:rsidRPr="00B51F42" w:rsidRDefault="00B51F42" w:rsidP="00B51F42">
      <w:pPr>
        <w:pStyle w:val="Bullet"/>
        <w:rPr>
          <w:rFonts w:eastAsia="Arial Unicode MS"/>
        </w:rPr>
      </w:pPr>
      <w:r w:rsidRPr="00B51F42">
        <w:rPr>
          <w:rFonts w:eastAsia="Arial Unicode MS"/>
        </w:rPr>
        <w:t>Women aged under 65 years are significantly more likely than men to have had an unfilled prescription due to cost (Manatū Hauora 2023a).</w:t>
      </w:r>
    </w:p>
    <w:p w14:paraId="01351437" w14:textId="5ADE4496" w:rsidR="00025EAD" w:rsidRDefault="00025EAD" w:rsidP="00025EAD">
      <w:pPr>
        <w:pStyle w:val="Heading3"/>
        <w:rPr>
          <w:rFonts w:eastAsia="Arial Unicode MS"/>
        </w:rPr>
      </w:pPr>
      <w:r w:rsidRPr="00025EAD">
        <w:rPr>
          <w:rFonts w:eastAsia="Arial Unicode MS"/>
        </w:rPr>
        <w:t>Rural health</w:t>
      </w:r>
    </w:p>
    <w:p w14:paraId="2FE77E81" w14:textId="77777777" w:rsidR="00B51F42" w:rsidRPr="00B51F42" w:rsidRDefault="00B51F42" w:rsidP="00B51F42">
      <w:pPr>
        <w:pStyle w:val="Bullet"/>
        <w:rPr>
          <w:rFonts w:eastAsia="Arial Unicode MS"/>
        </w:rPr>
      </w:pPr>
      <w:r w:rsidRPr="00B51F42">
        <w:rPr>
          <w:rFonts w:eastAsia="Arial Unicode MS"/>
        </w:rPr>
        <w:t xml:space="preserve">A higher proportion of Māori live in rural areas compared with other ethnic groups, so Māori outcomes and rural outcomes are interconnected (particularly in the North Island; University of Otago 2021). </w:t>
      </w:r>
    </w:p>
    <w:p w14:paraId="5EECEE42" w14:textId="77777777" w:rsidR="00B51F42" w:rsidRPr="00B51F42" w:rsidRDefault="00B51F42" w:rsidP="00B51F42">
      <w:pPr>
        <w:pStyle w:val="Bullet"/>
        <w:rPr>
          <w:rFonts w:eastAsia="Arial Unicode MS"/>
        </w:rPr>
      </w:pPr>
      <w:r w:rsidRPr="00B51F42">
        <w:rPr>
          <w:rFonts w:eastAsia="Arial Unicode MS"/>
        </w:rPr>
        <w:t>A higher percentage of people living in rural areas report experiencing chronic pain.</w:t>
      </w:r>
    </w:p>
    <w:p w14:paraId="427D3A2F" w14:textId="77777777" w:rsidR="00B51F42" w:rsidRPr="00B51F42" w:rsidRDefault="00B51F42" w:rsidP="00B51F42">
      <w:pPr>
        <w:pStyle w:val="Bullet"/>
        <w:rPr>
          <w:rFonts w:eastAsia="Arial Unicode MS"/>
        </w:rPr>
      </w:pPr>
      <w:r w:rsidRPr="00B51F42">
        <w:rPr>
          <w:rFonts w:eastAsia="Arial Unicode MS"/>
        </w:rPr>
        <w:t>People living in rural areas are more likely to be daily smokers than those living in urban areas.</w:t>
      </w:r>
    </w:p>
    <w:p w14:paraId="592DFF9B" w14:textId="77777777" w:rsidR="00B51F42" w:rsidRPr="00B51F42" w:rsidRDefault="00B51F42" w:rsidP="00B51F42">
      <w:pPr>
        <w:pStyle w:val="Bullet"/>
        <w:rPr>
          <w:rFonts w:eastAsia="Arial Unicode MS"/>
        </w:rPr>
      </w:pPr>
      <w:r w:rsidRPr="00B51F42">
        <w:rPr>
          <w:rFonts w:eastAsia="Arial Unicode MS"/>
        </w:rPr>
        <w:t>Rates of hazardous drinking are higher in rural areas.</w:t>
      </w:r>
    </w:p>
    <w:p w14:paraId="54B3B1AD" w14:textId="77777777" w:rsidR="00B51F42" w:rsidRPr="00B51F42" w:rsidRDefault="00B51F42" w:rsidP="00B51F42">
      <w:pPr>
        <w:pStyle w:val="Bullet"/>
        <w:rPr>
          <w:rFonts w:eastAsia="Arial Unicode MS"/>
        </w:rPr>
      </w:pPr>
      <w:r w:rsidRPr="00B51F42">
        <w:rPr>
          <w:rFonts w:eastAsia="Arial Unicode MS"/>
        </w:rPr>
        <w:t>Adults living in rural areas are less likely to rate their oral health as good, compared with those living in urban areas.</w:t>
      </w:r>
    </w:p>
    <w:p w14:paraId="1990BB7B" w14:textId="3A486993" w:rsidR="00025EAD" w:rsidRDefault="00025EAD" w:rsidP="00025EAD">
      <w:pPr>
        <w:pStyle w:val="Heading2"/>
        <w:rPr>
          <w:rFonts w:eastAsia="Arial Unicode MS"/>
        </w:rPr>
      </w:pPr>
      <w:bookmarkStart w:id="13" w:name="_Toc139030807"/>
      <w:r w:rsidRPr="00025EAD">
        <w:rPr>
          <w:rFonts w:eastAsia="Arial Unicode MS"/>
        </w:rPr>
        <w:t>Population estimates</w:t>
      </w:r>
      <w:bookmarkEnd w:id="13"/>
    </w:p>
    <w:p w14:paraId="24E6FAAF" w14:textId="17CF67E6" w:rsidR="00B51F42" w:rsidRPr="0007414B" w:rsidRDefault="00B51F42" w:rsidP="00B51F42">
      <w:pPr>
        <w:rPr>
          <w:rFonts w:eastAsia="Calibri Light" w:cs="Segoe UI"/>
        </w:rPr>
      </w:pPr>
      <w:r w:rsidRPr="0007414B">
        <w:rPr>
          <w:rFonts w:eastAsia="Calibri Light" w:cs="Segoe UI"/>
        </w:rPr>
        <w:t xml:space="preserve">At December 2022, the total estimated resident population of Aotearoa New Zealand was 5,151,600 </w:t>
      </w:r>
      <w:r w:rsidRPr="0007414B">
        <w:rPr>
          <w:rFonts w:eastAsia="Calibri Light" w:cs="Segoe UI"/>
        </w:rPr>
        <w:fldChar w:fldCharType="begin"/>
      </w:r>
      <w:r>
        <w:rPr>
          <w:rFonts w:eastAsia="Calibri Light" w:cs="Segoe UI"/>
        </w:rPr>
        <w:instrText xml:space="preserve"> ADDIN EN.CITE &lt;EndNote&gt;&lt;Cite&gt;&lt;Author&gt;Stats NZ&lt;/Author&gt;&lt;Year&gt;2023&lt;/Year&gt;&lt;RecNum&gt;279&lt;/RecNum&gt;&lt;DisplayText&gt;(Stats NZ 2023f)&lt;/DisplayText&gt;&lt;record&gt;&lt;rec-number&gt;279&lt;/rec-number&gt;&lt;foreign-keys&gt;&lt;key app="EN" db-id="aaepvppzs5wtfse95vsp2wahsrtvva2vvdet" timestamp="1683239705"&gt;279&lt;/key&gt;&lt;/foreign-keys&gt;&lt;ref-type name="Web Page"&gt;12&lt;/ref-type&gt;&lt;contributors&gt;&lt;authors&gt;&lt;author&gt;Stats NZ,&lt;/author&gt;&lt;/authors&gt;&lt;/contributors&gt;&lt;titles&gt;&lt;title&gt;Population&lt;/title&gt;&lt;/titles&gt;&lt;number&gt;5 May 2023&lt;/number&gt;&lt;dates&gt;&lt;year&gt;2023&lt;/year&gt;&lt;/dates&gt;&lt;urls&gt;&lt;related-urls&gt;&lt;url&gt;www.stats.govt.nz/topics/population&lt;/url&gt;&lt;/related-urls&gt;&lt;/urls&gt;&lt;/record&gt;&lt;/Cite&gt;&lt;/EndNote&gt;</w:instrText>
      </w:r>
      <w:r w:rsidRPr="0007414B">
        <w:rPr>
          <w:rFonts w:eastAsia="Calibri Light" w:cs="Segoe UI"/>
        </w:rPr>
        <w:fldChar w:fldCharType="separate"/>
      </w:r>
      <w:r w:rsidRPr="0007414B">
        <w:rPr>
          <w:rFonts w:eastAsia="Calibri Light" w:cs="Segoe UI"/>
          <w:noProof/>
        </w:rPr>
        <w:t>(Stats NZ 2023f)</w:t>
      </w:r>
      <w:r w:rsidRPr="0007414B">
        <w:rPr>
          <w:rFonts w:eastAsia="Calibri Light" w:cs="Segoe UI"/>
        </w:rPr>
        <w:fldChar w:fldCharType="end"/>
      </w:r>
      <w:r w:rsidRPr="0007414B">
        <w:rPr>
          <w:rFonts w:eastAsia="Calibri Light" w:cs="Segoe UI"/>
        </w:rPr>
        <w:t xml:space="preserve">. </w:t>
      </w:r>
      <w:r w:rsidRPr="0007414B">
        <w:rPr>
          <w:rFonts w:cs="Segoe UI"/>
        </w:rPr>
        <w:fldChar w:fldCharType="begin"/>
      </w:r>
      <w:r w:rsidRPr="0007414B">
        <w:rPr>
          <w:rFonts w:eastAsia="Calibri Light" w:cs="Segoe UI"/>
        </w:rPr>
        <w:instrText xml:space="preserve"> REF _Ref131071502 \h </w:instrText>
      </w:r>
      <w:r w:rsidRPr="0007414B">
        <w:rPr>
          <w:rFonts w:cs="Segoe UI"/>
        </w:rPr>
        <w:instrText xml:space="preserve"> \* MERGEFORMAT </w:instrText>
      </w:r>
      <w:r w:rsidRPr="0007414B">
        <w:rPr>
          <w:rFonts w:cs="Segoe UI"/>
        </w:rPr>
      </w:r>
      <w:r w:rsidRPr="0007414B">
        <w:rPr>
          <w:rFonts w:cs="Segoe UI"/>
        </w:rPr>
        <w:fldChar w:fldCharType="separate"/>
      </w:r>
      <w:r w:rsidR="00BE208D" w:rsidRPr="00BE208D">
        <w:rPr>
          <w:rFonts w:cs="Segoe UI"/>
        </w:rPr>
        <w:t>Figure 1</w:t>
      </w:r>
      <w:r w:rsidRPr="0007414B">
        <w:rPr>
          <w:rFonts w:cs="Segoe UI"/>
        </w:rPr>
        <w:fldChar w:fldCharType="end"/>
      </w:r>
      <w:r w:rsidRPr="0007414B">
        <w:rPr>
          <w:rFonts w:eastAsia="Calibri Light" w:cs="Segoe UI"/>
        </w:rPr>
        <w:t xml:space="preserve"> shows how the population grew steadily to March 2020, when the COVID-19 pandemic started, and then flattened </w:t>
      </w:r>
      <w:r w:rsidRPr="0007414B">
        <w:rPr>
          <w:rFonts w:eastAsia="Calibri Light" w:cs="Segoe UI"/>
        </w:rPr>
        <w:fldChar w:fldCharType="begin"/>
      </w:r>
      <w:r w:rsidRPr="0007414B">
        <w:rPr>
          <w:rFonts w:eastAsia="Calibri Light" w:cs="Segoe UI"/>
        </w:rPr>
        <w:instrText xml:space="preserve"> ADDIN EN.CITE &lt;EndNote&gt;&lt;Cite&gt;&lt;Author&gt;Stats NZ&lt;/Author&gt;&lt;Year&gt;2023&lt;/Year&gt;&lt;RecNum&gt;400&lt;/RecNum&gt;&lt;DisplayText&gt;(Stats NZ 2023d)&lt;/DisplayText&gt;&lt;record&gt;&lt;rec-number&gt;400&lt;/rec-number&gt;&lt;foreign-keys&gt;&lt;key app="EN" db-id="aaepvppzs5wtfse95vsp2wahsrtvva2vvdet" timestamp="1684988363"&gt;400&lt;/key&gt;&lt;/foreign-keys&gt;&lt;ref-type name="Web Page"&gt;12&lt;/ref-type&gt;&lt;contributors&gt;&lt;authors&gt;&lt;author&gt;Stats NZ,&lt;/author&gt;&lt;/authors&gt;&lt;/contributors&gt;&lt;titles&gt;&lt;title&gt;Estimated resident population by age and sex (1991+) (Annual-Dec)&lt;/title&gt;&lt;/titles&gt;&lt;number&gt;28 April 2023&lt;/number&gt;&lt;dates&gt;&lt;year&gt;2023&lt;/year&gt;&lt;/dates&gt;&lt;urls&gt;&lt;related-urls&gt;&lt;url&gt;https://infoshare.stats.govt.nz/ViewTable.aspx?pxID=9b05b41d-e720-49fd-b1ae-9b3056e8a74a&lt;/url&gt;&lt;/related-urls&gt;&lt;/urls&gt;&lt;/record&gt;&lt;/Cite&gt;&lt;/EndNote&gt;</w:instrText>
      </w:r>
      <w:r w:rsidRPr="0007414B">
        <w:rPr>
          <w:rFonts w:eastAsia="Calibri Light" w:cs="Segoe UI"/>
        </w:rPr>
        <w:fldChar w:fldCharType="separate"/>
      </w:r>
      <w:r w:rsidRPr="0007414B">
        <w:rPr>
          <w:rFonts w:eastAsia="Calibri Light" w:cs="Segoe UI"/>
        </w:rPr>
        <w:t>(Stats NZ 2023d)</w:t>
      </w:r>
      <w:r w:rsidRPr="0007414B">
        <w:rPr>
          <w:rFonts w:eastAsia="Calibri Light" w:cs="Segoe UI"/>
        </w:rPr>
        <w:fldChar w:fldCharType="end"/>
      </w:r>
      <w:r w:rsidRPr="0007414B">
        <w:rPr>
          <w:rFonts w:eastAsia="Calibri Light" w:cs="Segoe UI"/>
        </w:rPr>
        <w:t>.</w:t>
      </w:r>
    </w:p>
    <w:p w14:paraId="4C2BC51E" w14:textId="77777777" w:rsidR="00B51F42" w:rsidRPr="0007414B" w:rsidRDefault="00B51F42" w:rsidP="00B51F42">
      <w:pPr>
        <w:rPr>
          <w:rFonts w:eastAsia="Calibri Light" w:cs="Segoe UI"/>
        </w:rPr>
      </w:pPr>
    </w:p>
    <w:p w14:paraId="4635FCEB" w14:textId="56E068BA" w:rsidR="00B51F42" w:rsidRPr="0007414B" w:rsidRDefault="00B51F42" w:rsidP="00B51F42">
      <w:pPr>
        <w:pStyle w:val="Figure"/>
      </w:pPr>
      <w:bookmarkStart w:id="14" w:name="_Ref131071502"/>
      <w:bookmarkStart w:id="15" w:name="_Toc138326943"/>
      <w:bookmarkStart w:id="16" w:name="_Toc138409924"/>
      <w:r w:rsidRPr="0007414B">
        <w:t xml:space="preserve">Figure </w:t>
      </w:r>
      <w:r>
        <w:fldChar w:fldCharType="begin"/>
      </w:r>
      <w:r>
        <w:instrText>SEQ Figure \* ARABIC</w:instrText>
      </w:r>
      <w:r>
        <w:fldChar w:fldCharType="separate"/>
      </w:r>
      <w:r w:rsidR="00BE208D">
        <w:rPr>
          <w:noProof/>
        </w:rPr>
        <w:t>1</w:t>
      </w:r>
      <w:r>
        <w:fldChar w:fldCharType="end"/>
      </w:r>
      <w:bookmarkEnd w:id="14"/>
      <w:r w:rsidRPr="0007414B">
        <w:t>: Estimated resident population of Aotearoa New Zealand, 1991–2022</w:t>
      </w:r>
      <w:bookmarkEnd w:id="15"/>
      <w:bookmarkEnd w:id="16"/>
    </w:p>
    <w:p w14:paraId="1854270E" w14:textId="439ADD5F" w:rsidR="00025EAD" w:rsidRDefault="00B51F42" w:rsidP="00025EAD">
      <w:pPr>
        <w:rPr>
          <w:rFonts w:eastAsia="Arial Unicode MS"/>
        </w:rPr>
      </w:pPr>
      <w:r>
        <w:rPr>
          <w:rFonts w:eastAsia="Arial Unicode MS"/>
          <w:noProof/>
        </w:rPr>
        <w:drawing>
          <wp:inline distT="0" distB="0" distL="0" distR="0" wp14:anchorId="7EA9ECE7" wp14:editId="07F4AC63">
            <wp:extent cx="5141595" cy="2567940"/>
            <wp:effectExtent l="0" t="0" r="1905"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1595" cy="2567940"/>
                    </a:xfrm>
                    <a:prstGeom prst="rect">
                      <a:avLst/>
                    </a:prstGeom>
                    <a:noFill/>
                  </pic:spPr>
                </pic:pic>
              </a:graphicData>
            </a:graphic>
          </wp:inline>
        </w:drawing>
      </w:r>
    </w:p>
    <w:p w14:paraId="48C0FEB2" w14:textId="77777777" w:rsidR="00B51F42" w:rsidRPr="00B51F42" w:rsidRDefault="00B51F42" w:rsidP="00B51F42">
      <w:pPr>
        <w:pStyle w:val="Source"/>
      </w:pPr>
      <w:r w:rsidRPr="00B51F42">
        <w:t>Source:</w:t>
      </w:r>
      <w:r w:rsidRPr="00B51F42">
        <w:rPr>
          <w:rStyle w:val="Hyperlink"/>
          <w:b w:val="0"/>
          <w:color w:val="auto"/>
        </w:rPr>
        <w:t xml:space="preserve"> </w:t>
      </w:r>
      <w:hyperlink r:id="rId33">
        <w:r w:rsidRPr="00B51F42">
          <w:rPr>
            <w:rStyle w:val="Hyperlink"/>
          </w:rPr>
          <w:t>Stats NZ (2023d</w:t>
        </w:r>
      </w:hyperlink>
      <w:r w:rsidRPr="00B51F42">
        <w:rPr>
          <w:rStyle w:val="Hyperlink"/>
        </w:rPr>
        <w:t>)</w:t>
      </w:r>
    </w:p>
    <w:p w14:paraId="2EF7C204" w14:textId="77777777" w:rsidR="00B51F42" w:rsidRPr="0007414B" w:rsidRDefault="00B51F42" w:rsidP="00B51F42">
      <w:pPr>
        <w:rPr>
          <w:rFonts w:eastAsia="Calibri Light"/>
        </w:rPr>
      </w:pPr>
    </w:p>
    <w:p w14:paraId="133A5954" w14:textId="77777777" w:rsidR="00B51F42" w:rsidRDefault="00B51F42" w:rsidP="00B51F42">
      <w:pPr>
        <w:shd w:val="clear" w:color="auto" w:fill="FFFFFF" w:themeFill="background1"/>
        <w:rPr>
          <w:rFonts w:eastAsia="Calibri Light" w:cs="Segoe UI"/>
        </w:rPr>
      </w:pPr>
    </w:p>
    <w:p w14:paraId="71DAD4A3" w14:textId="456D7550" w:rsidR="00B51F42" w:rsidRPr="0007414B" w:rsidRDefault="00B51F42" w:rsidP="00B51F42">
      <w:pPr>
        <w:shd w:val="clear" w:color="auto" w:fill="FFFFFF" w:themeFill="background1"/>
        <w:rPr>
          <w:rFonts w:eastAsia="Calibri Light" w:cs="Segoe UI"/>
        </w:rPr>
      </w:pPr>
      <w:r w:rsidRPr="0007414B">
        <w:rPr>
          <w:rFonts w:eastAsia="Calibri Light" w:cs="Segoe UI"/>
        </w:rPr>
        <w:lastRenderedPageBreak/>
        <w:t>During the year ending December 2022, Aotearoa New Zealand’s population grew by 35,200 (0.7%</w:t>
      </w:r>
      <w:r>
        <w:rPr>
          <w:rFonts w:eastAsia="Calibri Light" w:cs="Segoe UI"/>
        </w:rPr>
        <w:t>;</w:t>
      </w:r>
      <w:r w:rsidRPr="0007414B">
        <w:rPr>
          <w:rFonts w:eastAsia="Calibri Light" w:cs="Segoe UI"/>
        </w:rPr>
        <w:t xml:space="preserve"> </w:t>
      </w:r>
      <w:r w:rsidRPr="0007414B">
        <w:rPr>
          <w:rFonts w:eastAsia="Calibri Light" w:cs="Segoe UI"/>
        </w:rPr>
        <w:fldChar w:fldCharType="begin"/>
      </w:r>
      <w:r>
        <w:rPr>
          <w:rFonts w:eastAsia="Calibri Light" w:cs="Segoe UI"/>
        </w:rPr>
        <w:instrText xml:space="preserve"> ADDIN EN.CITE &lt;EndNote&gt;&lt;Cite&gt;&lt;Author&gt;Stats NZ&lt;/Author&gt;&lt;Year&gt;2023&lt;/Year&gt;&lt;RecNum&gt;279&lt;/RecNum&gt;&lt;DisplayText&gt;(Stats NZ 2023f)&lt;/DisplayText&gt;&lt;record&gt;&lt;rec-number&gt;279&lt;/rec-number&gt;&lt;foreign-keys&gt;&lt;key app="EN" db-id="aaepvppzs5wtfse95vsp2wahsrtvva2vvdet" timestamp="1683239705"&gt;279&lt;/key&gt;&lt;/foreign-keys&gt;&lt;ref-type name="Web Page"&gt;12&lt;/ref-type&gt;&lt;contributors&gt;&lt;authors&gt;&lt;author&gt;Stats NZ,&lt;/author&gt;&lt;/authors&gt;&lt;/contributors&gt;&lt;titles&gt;&lt;title&gt;Population&lt;/title&gt;&lt;/titles&gt;&lt;number&gt;5 May 2023&lt;/number&gt;&lt;dates&gt;&lt;year&gt;2023&lt;/year&gt;&lt;/dates&gt;&lt;urls&gt;&lt;related-urls&gt;&lt;url&gt;www.stats.govt.nz/topics/population&lt;/url&gt;&lt;/related-urls&gt;&lt;/urls&gt;&lt;/record&gt;&lt;/Cite&gt;&lt;/EndNote&gt;</w:instrText>
      </w:r>
      <w:r w:rsidRPr="0007414B">
        <w:rPr>
          <w:rFonts w:eastAsia="Calibri Light" w:cs="Segoe UI"/>
        </w:rPr>
        <w:fldChar w:fldCharType="separate"/>
      </w:r>
      <w:r w:rsidRPr="0007414B">
        <w:rPr>
          <w:rFonts w:eastAsia="Calibri Light" w:cs="Segoe UI"/>
          <w:noProof/>
        </w:rPr>
        <w:t>Stats NZ 2023f)</w:t>
      </w:r>
      <w:r w:rsidRPr="0007414B">
        <w:rPr>
          <w:rFonts w:eastAsia="Calibri Light" w:cs="Segoe UI"/>
        </w:rPr>
        <w:fldChar w:fldCharType="end"/>
      </w:r>
      <w:r w:rsidRPr="0007414B">
        <w:rPr>
          <w:rFonts w:eastAsia="Calibri Light" w:cs="Segoe UI"/>
        </w:rPr>
        <w:t xml:space="preserve">. Two factors contributed to this increase. </w:t>
      </w:r>
    </w:p>
    <w:p w14:paraId="731C7277" w14:textId="77777777" w:rsidR="00B51F42" w:rsidRPr="0007414B" w:rsidRDefault="00B51F42" w:rsidP="00B51F42">
      <w:pPr>
        <w:pStyle w:val="Bullet"/>
      </w:pPr>
      <w:r w:rsidRPr="0007414B">
        <w:t xml:space="preserve">The estimated natural increase (58,887 live births minus 38,574 deaths) was 20,313 </w:t>
      </w:r>
      <w:r w:rsidRPr="0007414B">
        <w:fldChar w:fldCharType="begin"/>
      </w:r>
      <w:r>
        <w:instrText xml:space="preserve"> ADDIN EN.CITE &lt;EndNote&gt;&lt;Cite&gt;&lt;Author&gt;Stats NZ&lt;/Author&gt;&lt;Year&gt;2023&lt;/Year&gt;&lt;RecNum&gt;323&lt;/RecNum&gt;&lt;DisplayText&gt;(Stats NZ 2023a)&lt;/DisplayText&gt;&lt;record&gt;&lt;rec-number&gt;323&lt;/rec-number&gt;&lt;foreign-keys&gt;&lt;key app="EN" db-id="aaepvppzs5wtfse95vsp2wahsrtvva2vvdet" timestamp="1683260558"&gt;323&lt;/key&gt;&lt;/foreign-keys&gt;&lt;ref-type name="Web Page"&gt;12&lt;/ref-type&gt;&lt;contributors&gt;&lt;authors&gt;&lt;author&gt;Stats NZ,&lt;/author&gt;&lt;/authors&gt;&lt;/contributors&gt;&lt;titles&gt;&lt;title&gt;Births and deaths: Year ended December 2022 (including abridged period life table)&lt;/title&gt;&lt;/titles&gt;&lt;number&gt;5 May 2023&lt;/number&gt;&lt;dates&gt;&lt;year&gt;2023&lt;/year&gt;&lt;/dates&gt;&lt;urls&gt;&lt;related-urls&gt;&lt;url&gt;www.stats.govt.nz/information-releases/births-and-deaths-year-ended-december-2022-including-abridged-period-life-table/&lt;/url&gt;&lt;/related-urls&gt;&lt;/urls&gt;&lt;/record&gt;&lt;/Cite&gt;&lt;/EndNote&gt;</w:instrText>
      </w:r>
      <w:r w:rsidRPr="0007414B">
        <w:fldChar w:fldCharType="separate"/>
      </w:r>
      <w:r w:rsidRPr="0007414B">
        <w:rPr>
          <w:noProof/>
        </w:rPr>
        <w:t>(Stats NZ 2023a)</w:t>
      </w:r>
      <w:r w:rsidRPr="0007414B">
        <w:fldChar w:fldCharType="end"/>
      </w:r>
      <w:r w:rsidRPr="0007414B">
        <w:t>. This was 228 more births and 3,642 more deaths compared with the year ended December 2021.</w:t>
      </w:r>
    </w:p>
    <w:p w14:paraId="2401EB7B" w14:textId="77777777" w:rsidR="00BE208D" w:rsidRPr="00BE208D" w:rsidRDefault="00B51F42" w:rsidP="00BE208D">
      <w:pPr>
        <w:pStyle w:val="Bullet"/>
      </w:pPr>
      <w:r w:rsidRPr="0007414B">
        <w:t xml:space="preserve">Provisional net migration (migrant arrivals minus migrant departures) was a gain of 15,800 </w:t>
      </w:r>
      <w:r w:rsidRPr="0007414B">
        <w:fldChar w:fldCharType="begin"/>
      </w:r>
      <w:r>
        <w:instrText xml:space="preserve"> ADDIN EN.CITE &lt;EndNote&gt;&lt;Cite&gt;&lt;Author&gt;Stats NZ&lt;/Author&gt;&lt;Year&gt;2023&lt;/Year&gt;&lt;RecNum&gt;280&lt;/RecNum&gt;&lt;DisplayText&gt;(Stats NZ 2023g)&lt;/DisplayText&gt;&lt;record&gt;&lt;rec-number&gt;280&lt;/rec-number&gt;&lt;foreign-keys&gt;&lt;key app="EN" db-id="aaepvppzs5wtfse95vsp2wahsrtvva2vvdet" timestamp="1683239786"&gt;280&lt;/key&gt;&lt;/foreign-keys&gt;&lt;ref-type name="Web Page"&gt;12&lt;/ref-type&gt;&lt;contributors&gt;&lt;authors&gt;&lt;author&gt;Stats NZ,&lt;/author&gt;&lt;/authors&gt;&lt;/contributors&gt;&lt;titles&gt;&lt;title&gt;Return to net migration gains in 2022&lt;/title&gt;&lt;/titles&gt;&lt;number&gt;5 May 2023&lt;/number&gt;&lt;dates&gt;&lt;year&gt;2023&lt;/year&gt;&lt;/dates&gt;&lt;urls&gt;&lt;related-urls&gt;&lt;url&gt;www.stats.govt.nz/news/return-to-net-migration-gains-in-2022/&lt;/url&gt;&lt;/related-urls&gt;&lt;/urls&gt;&lt;/record&gt;&lt;/Cite&gt;&lt;/EndNote&gt;</w:instrText>
      </w:r>
      <w:r w:rsidRPr="0007414B">
        <w:fldChar w:fldCharType="separate"/>
      </w:r>
      <w:r w:rsidRPr="0007414B">
        <w:rPr>
          <w:noProof/>
        </w:rPr>
        <w:t>(Stats NZ 2023g)</w:t>
      </w:r>
      <w:r w:rsidRPr="0007414B">
        <w:fldChar w:fldCharType="end"/>
      </w:r>
      <w:r w:rsidRPr="0007414B">
        <w:t>. The provisional net migration gain in 2022 was a turnaround from a net migration loss of 15,000 in 2021, but below pre-COVID net gains, which averaged 57,600 a year from 2014 to 2019.</w:t>
      </w:r>
      <w:r w:rsidRPr="0007414B">
        <w:rPr>
          <w:rFonts w:eastAsia="Calibri Light" w:cs="Segoe UI"/>
        </w:rPr>
        <w:fldChar w:fldCharType="begin"/>
      </w:r>
      <w:r w:rsidRPr="004B1165">
        <w:rPr>
          <w:rFonts w:eastAsia="Calibri Light" w:cs="Segoe UI"/>
        </w:rPr>
        <w:instrText xml:space="preserve"> REF _Ref131071140 \h  \* MERGEFORMAT </w:instrText>
      </w:r>
      <w:r w:rsidRPr="0007414B">
        <w:rPr>
          <w:rFonts w:eastAsia="Calibri Light" w:cs="Segoe UI"/>
        </w:rPr>
      </w:r>
      <w:r w:rsidRPr="0007414B">
        <w:rPr>
          <w:rFonts w:eastAsia="Calibri Light" w:cs="Segoe UI"/>
        </w:rPr>
        <w:fldChar w:fldCharType="separate"/>
      </w:r>
    </w:p>
    <w:p w14:paraId="78B3A5F2" w14:textId="77777777" w:rsidR="00BE208D" w:rsidRPr="00BE208D" w:rsidRDefault="00BE208D" w:rsidP="004B1165"/>
    <w:p w14:paraId="7F914188" w14:textId="4CC45375" w:rsidR="00B51F42" w:rsidRPr="0007414B" w:rsidRDefault="00BE208D" w:rsidP="00B51F42">
      <w:pPr>
        <w:shd w:val="clear" w:color="auto" w:fill="FFFFFF" w:themeFill="background1"/>
        <w:spacing w:before="60" w:after="60"/>
        <w:rPr>
          <w:rFonts w:eastAsia="Calibri Light" w:cs="Segoe UI"/>
        </w:rPr>
      </w:pPr>
      <w:r w:rsidRPr="0007414B">
        <w:t xml:space="preserve">Figure </w:t>
      </w:r>
      <w:r>
        <w:t>2</w:t>
      </w:r>
      <w:r w:rsidR="00B51F42" w:rsidRPr="0007414B">
        <w:rPr>
          <w:rFonts w:eastAsia="Calibri Light" w:cs="Segoe UI"/>
        </w:rPr>
        <w:fldChar w:fldCharType="end"/>
      </w:r>
      <w:r w:rsidR="00B51F42" w:rsidRPr="0007414B">
        <w:rPr>
          <w:rFonts w:eastAsia="Calibri Light" w:cs="Segoe UI"/>
        </w:rPr>
        <w:t xml:space="preserve"> shows net migration between January 2017 and January 2023. This is the balance from those arriving in the country minus individuals leaving. The impact of the COVID-19 pandemic is evident in the net migration loss from March 2020</w:t>
      </w:r>
      <w:r w:rsidR="00B51F42">
        <w:rPr>
          <w:rFonts w:eastAsia="Calibri Light" w:cs="Segoe UI"/>
        </w:rPr>
        <w:t xml:space="preserve"> to May 2022</w:t>
      </w:r>
      <w:r w:rsidR="00B51F42" w:rsidRPr="0007414B">
        <w:rPr>
          <w:rFonts w:eastAsia="Calibri Light" w:cs="Segoe UI"/>
        </w:rPr>
        <w:t>.</w:t>
      </w:r>
      <w:bookmarkStart w:id="17" w:name="_Ref131071140"/>
    </w:p>
    <w:p w14:paraId="028BEBA8" w14:textId="77777777" w:rsidR="00B51F42" w:rsidRPr="0007414B" w:rsidRDefault="00B51F42" w:rsidP="004B1165">
      <w:pPr>
        <w:rPr>
          <w:rFonts w:eastAsia="Calibri Light"/>
        </w:rPr>
      </w:pPr>
    </w:p>
    <w:p w14:paraId="4CDC3936" w14:textId="6C08064B" w:rsidR="00B51F42" w:rsidRPr="0007414B" w:rsidRDefault="00B51F42" w:rsidP="00B51F42">
      <w:pPr>
        <w:pStyle w:val="Figure"/>
      </w:pPr>
      <w:bookmarkStart w:id="18" w:name="_Toc138326944"/>
      <w:bookmarkStart w:id="19" w:name="_Toc138409925"/>
      <w:r w:rsidRPr="0007414B">
        <w:t xml:space="preserve">Figure </w:t>
      </w:r>
      <w:r>
        <w:fldChar w:fldCharType="begin"/>
      </w:r>
      <w:r>
        <w:instrText>SEQ Figure \* ARABIC</w:instrText>
      </w:r>
      <w:r>
        <w:fldChar w:fldCharType="separate"/>
      </w:r>
      <w:r w:rsidR="00BE208D">
        <w:rPr>
          <w:noProof/>
        </w:rPr>
        <w:t>2</w:t>
      </w:r>
      <w:r>
        <w:fldChar w:fldCharType="end"/>
      </w:r>
      <w:bookmarkEnd w:id="17"/>
      <w:r w:rsidRPr="0007414B">
        <w:t>: Net migration to Aotearoa New Zealand, January 2017 – January 2023</w:t>
      </w:r>
      <w:bookmarkEnd w:id="18"/>
      <w:bookmarkEnd w:id="19"/>
    </w:p>
    <w:p w14:paraId="378BBAC4" w14:textId="77777777" w:rsidR="00B51F42" w:rsidRPr="0007414B" w:rsidRDefault="00B51F42" w:rsidP="00B51F42">
      <w:pPr>
        <w:spacing w:before="100" w:beforeAutospacing="1" w:after="100" w:afterAutospacing="1"/>
        <w:rPr>
          <w:rFonts w:eastAsia="Calibri Light" w:cs="Segoe UI"/>
          <w:sz w:val="20"/>
        </w:rPr>
      </w:pPr>
      <w:r w:rsidRPr="0007414B">
        <w:rPr>
          <w:noProof/>
        </w:rPr>
        <w:drawing>
          <wp:inline distT="0" distB="0" distL="0" distR="0" wp14:anchorId="46A63067" wp14:editId="56278268">
            <wp:extent cx="5108028" cy="2554014"/>
            <wp:effectExtent l="0" t="0" r="0" b="0"/>
            <wp:docPr id="26" name="Picture 26" descr="This is a time series bar chart showing estimated monthly net migration between January 2017 and January 2023. Between December 2017 and March 2020, there was a net migration inflow of 5,740 people per month. Between April 2020 and June 2022 net migration fell to an average outflow of -809 per month. Between July 2022 and December 2022 net migration returned positive, with an average net inflow of 5,859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time series bar chart showing estimated monthly net migration between January 2017 and January 2023. Between December 2017 and March 2020, there was a net migration inflow of 5,740 people per month. Between April 2020 and June 2022 net migration fell to an average outflow of -809 per month. Between July 2022 and December 2022 net migration returned positive, with an average net inflow of 5,859 per mon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27545" cy="2563773"/>
                    </a:xfrm>
                    <a:prstGeom prst="rect">
                      <a:avLst/>
                    </a:prstGeom>
                  </pic:spPr>
                </pic:pic>
              </a:graphicData>
            </a:graphic>
          </wp:inline>
        </w:drawing>
      </w:r>
    </w:p>
    <w:p w14:paraId="0688BC23" w14:textId="77777777" w:rsidR="00B51F42" w:rsidRPr="00B51F42" w:rsidRDefault="00B51F42" w:rsidP="00B51F42">
      <w:pPr>
        <w:pStyle w:val="Source"/>
        <w:rPr>
          <w:rStyle w:val="Hyperlink"/>
          <w:b w:val="0"/>
          <w:color w:val="auto"/>
        </w:rPr>
      </w:pPr>
      <w:r w:rsidRPr="00B51F42">
        <w:t xml:space="preserve">Source: </w:t>
      </w:r>
      <w:hyperlink r:id="rId35">
        <w:r w:rsidRPr="00B51F42">
          <w:rPr>
            <w:rStyle w:val="Hyperlink"/>
          </w:rPr>
          <w:t>Stats NZ (2023</w:t>
        </w:r>
      </w:hyperlink>
      <w:r w:rsidRPr="00B51F42">
        <w:rPr>
          <w:rStyle w:val="Hyperlink"/>
        </w:rPr>
        <w:t>a)</w:t>
      </w:r>
    </w:p>
    <w:p w14:paraId="748E6DA8" w14:textId="44C2A0B4" w:rsidR="00025EAD" w:rsidRDefault="00025EAD" w:rsidP="00025EAD">
      <w:pPr>
        <w:pStyle w:val="Heading2"/>
        <w:rPr>
          <w:rFonts w:eastAsia="Arial Unicode MS"/>
        </w:rPr>
      </w:pPr>
      <w:bookmarkStart w:id="20" w:name="_Toc139030808"/>
      <w:r w:rsidRPr="00025EAD">
        <w:rPr>
          <w:rFonts w:eastAsia="Arial Unicode MS"/>
        </w:rPr>
        <w:t>Changing demographics</w:t>
      </w:r>
      <w:bookmarkEnd w:id="20"/>
    </w:p>
    <w:p w14:paraId="799BF9D2" w14:textId="04B48D0D" w:rsidR="00B51F42" w:rsidRPr="00B51F42" w:rsidRDefault="00B51F42" w:rsidP="00B51F42">
      <w:pPr>
        <w:rPr>
          <w:rFonts w:eastAsia="Arial Unicode MS"/>
        </w:rPr>
      </w:pPr>
      <w:r w:rsidRPr="00B51F42">
        <w:rPr>
          <w:rFonts w:eastAsia="Arial Unicode MS"/>
        </w:rPr>
        <w:t>Aotearoa New Zealand’s total population is projected to grow from 4.9 million in 2018 (when the last national census was conducted) to 5.9 million in 2043 (Stats NZ 2021d). This would mean an increase of 0.9% per year on average. Key ways in which the population will change are that we will become more ethnically diverse and will have an ageing population structure. To meet the needs of this changing population, the health and disability system will need to be increasingly representative and responsive.</w:t>
      </w:r>
    </w:p>
    <w:p w14:paraId="2D617357" w14:textId="1D93DBD4" w:rsidR="00025EAD" w:rsidRDefault="00025EAD" w:rsidP="00025EAD">
      <w:pPr>
        <w:pStyle w:val="Heading3"/>
        <w:rPr>
          <w:rFonts w:eastAsia="Arial Unicode MS"/>
        </w:rPr>
      </w:pPr>
      <w:r w:rsidRPr="00025EAD">
        <w:rPr>
          <w:rFonts w:eastAsia="Arial Unicode MS"/>
        </w:rPr>
        <w:t>Increasing ethnic diversity</w:t>
      </w:r>
    </w:p>
    <w:p w14:paraId="4F7BE173" w14:textId="77777777" w:rsidR="00B51F42" w:rsidRPr="0007414B" w:rsidRDefault="00B51F42" w:rsidP="00B51F42">
      <w:pPr>
        <w:rPr>
          <w:rFonts w:eastAsia="DengXian Light" w:cs="Segoe UI"/>
          <w:sz w:val="20"/>
        </w:rPr>
      </w:pPr>
      <w:r w:rsidRPr="0007414B">
        <w:rPr>
          <w:rFonts w:cs="Segoe UI"/>
        </w:rPr>
        <w:t xml:space="preserve">According to </w:t>
      </w:r>
      <w:r w:rsidRPr="0007414B">
        <w:rPr>
          <w:rFonts w:cs="Segoe UI"/>
        </w:rPr>
        <w:fldChar w:fldCharType="begin"/>
      </w:r>
      <w:r>
        <w:rPr>
          <w:rFonts w:cs="Segoe UI"/>
        </w:rPr>
        <w:instrText xml:space="preserve"> ADDIN EN.CITE &lt;EndNote&gt;&lt;Cite AuthorYear="1"&gt;&lt;Author&gt;Stats NZ&lt;/Author&gt;&lt;Year&gt;2022&lt;/Year&gt;&lt;RecNum&gt;281&lt;/RecNum&gt;&lt;DisplayText&gt;Stats NZ (2022d)&lt;/DisplayText&gt;&lt;record&gt;&lt;rec-number&gt;281&lt;/rec-number&gt;&lt;foreign-keys&gt;&lt;key app="EN" db-id="aaepvppzs5wtfse95vsp2wahsrtvva2vvdet" timestamp="1683240047"&gt;281&lt;/key&gt;&lt;/foreign-keys&gt;&lt;ref-type name="Web Page"&gt;12&lt;/ref-type&gt;&lt;contributors&gt;&lt;authors&gt;&lt;author&gt;Stats NZ,&lt;/author&gt;&lt;/authors&gt;&lt;/contributors&gt;&lt;titles&gt;&lt;title&gt;&lt;style face="normal" font="default" size="100%"&gt;One in three children projected to be M&lt;/style&gt;&lt;style face="normal" font="default" charset="238" size="100%"&gt;āori&lt;/style&gt;&lt;/title&gt;&lt;/titles&gt;&lt;number&gt;5 May 2023&lt;/number&gt;&lt;dates&gt;&lt;year&gt;2022&lt;/year&gt;&lt;/dates&gt;&lt;urls&gt;&lt;related-urls&gt;&lt;url&gt;www.stats.govt.nz/news/one-in-three-children-projected-to-be-maori/&lt;/url&gt;&lt;/related-urls&gt;&lt;/urls&gt;&lt;/record&gt;&lt;/Cite&gt;&lt;/EndNote&gt;</w:instrText>
      </w:r>
      <w:r w:rsidRPr="0007414B">
        <w:rPr>
          <w:rFonts w:cs="Segoe UI"/>
        </w:rPr>
        <w:fldChar w:fldCharType="separate"/>
      </w:r>
      <w:r>
        <w:rPr>
          <w:rFonts w:cs="Segoe UI"/>
          <w:noProof/>
        </w:rPr>
        <w:t>Stats NZ (2022d)</w:t>
      </w:r>
      <w:r w:rsidRPr="0007414B">
        <w:rPr>
          <w:rFonts w:cs="Segoe UI"/>
        </w:rPr>
        <w:fldChar w:fldCharType="end"/>
      </w:r>
      <w:r w:rsidRPr="0007414B">
        <w:rPr>
          <w:rFonts w:cs="Segoe UI"/>
        </w:rPr>
        <w:t xml:space="preserve">, all major ethnic population groups are projected to grow over the next 2 decades. Some groups are expected to grow faster than others, depending on their age structures, birth and death rates, and patterns of migration. </w:t>
      </w:r>
      <w:r w:rsidRPr="0007414B">
        <w:rPr>
          <w:rFonts w:cs="Segoe UI"/>
        </w:rPr>
        <w:lastRenderedPageBreak/>
        <w:t xml:space="preserve">Note this report uses </w:t>
      </w:r>
      <w:r w:rsidRPr="0007414B">
        <w:rPr>
          <w:rFonts w:cs="Segoe UI"/>
          <w:b/>
          <w:bCs/>
          <w:iCs/>
        </w:rPr>
        <w:t>t</w:t>
      </w:r>
      <w:r w:rsidRPr="001C665E">
        <w:rPr>
          <w:rFonts w:cs="Segoe UI"/>
          <w:b/>
          <w:bCs/>
          <w:iCs/>
        </w:rPr>
        <w:t xml:space="preserve">otal </w:t>
      </w:r>
      <w:r w:rsidRPr="0007414B">
        <w:rPr>
          <w:rFonts w:cs="Segoe UI"/>
          <w:b/>
          <w:bCs/>
          <w:iCs/>
        </w:rPr>
        <w:t>r</w:t>
      </w:r>
      <w:r w:rsidRPr="001C665E">
        <w:rPr>
          <w:rFonts w:cs="Segoe UI"/>
          <w:b/>
          <w:bCs/>
          <w:iCs/>
        </w:rPr>
        <w:t>esponse</w:t>
      </w:r>
      <w:r w:rsidRPr="0007414B">
        <w:rPr>
          <w:rFonts w:cs="Segoe UI"/>
        </w:rPr>
        <w:t xml:space="preserve"> ethnic</w:t>
      </w:r>
      <w:r>
        <w:rPr>
          <w:rFonts w:cs="Segoe UI"/>
        </w:rPr>
        <w:t>ity</w:t>
      </w:r>
      <w:r w:rsidRPr="0007414B">
        <w:rPr>
          <w:rFonts w:cs="Segoe UI"/>
        </w:rPr>
        <w:t xml:space="preserve"> data (each respondent </w:t>
      </w:r>
      <w:r>
        <w:rPr>
          <w:rFonts w:cs="Segoe UI"/>
        </w:rPr>
        <w:t xml:space="preserve">is counted </w:t>
      </w:r>
      <w:r w:rsidRPr="0007414B">
        <w:rPr>
          <w:rFonts w:cs="Segoe UI"/>
        </w:rPr>
        <w:t xml:space="preserve">in each of the ethnic groups they identify with) where available </w:t>
      </w:r>
      <w:r w:rsidRPr="0007414B">
        <w:rPr>
          <w:rFonts w:cs="Segoe UI"/>
        </w:rPr>
        <w:fldChar w:fldCharType="begin"/>
      </w:r>
      <w:r>
        <w:rPr>
          <w:rFonts w:cs="Segoe UI"/>
        </w:rPr>
        <w:instrText xml:space="preserve"> ADDIN EN.CITE &lt;EndNote&gt;&lt;Cite&gt;&lt;Author&gt;Manatū Hauora&lt;/Author&gt;&lt;Year&gt;2017&lt;/Year&gt;&lt;RecNum&gt;282&lt;/RecNum&gt;&lt;DisplayText&gt;(Manatū Hauora 2017)&lt;/DisplayText&gt;&lt;record&gt;&lt;rec-number&gt;282&lt;/rec-number&gt;&lt;foreign-keys&gt;&lt;key app="EN" db-id="aaepvppzs5wtfse95vsp2wahsrtvva2vvdet" timestamp="1683240194"&gt;282&lt;/key&gt;&lt;/foreign-keys&gt;&lt;ref-type name="Web Page"&gt;12&lt;/ref-type&gt;&lt;contributors&gt;&lt;authors&gt;&lt;author&gt;&lt;style face="normal" font="default" size="100%"&gt;Manat&lt;/style&gt;&lt;style face="normal" font="default" charset="238" size="100%"&gt;ū Hauora,&lt;/style&gt;&lt;/author&gt;&lt;/authors&gt;&lt;/contributors&gt;&lt;titles&gt;&lt;title&gt;HISO 10001:2017 Ethnicity Data Protocols&lt;/title&gt;&lt;/titles&gt;&lt;number&gt;5 May 2023&lt;/number&gt;&lt;dates&gt;&lt;year&gt;2017&lt;/year&gt;&lt;/dates&gt;&lt;urls&gt;&lt;related-urls&gt;&lt;url&gt;www.moh.govt.nz/notebook/nbbooks.nsf/0/569DDB6A56F7E726CC2581FC00665BEB/$file/hiso-10001-2017-ethnicity-data-protocols.pdf&lt;/url&gt;&lt;/related-urls&gt;&lt;/urls&gt;&lt;/record&gt;&lt;/Cite&gt;&lt;/EndNote&gt;</w:instrText>
      </w:r>
      <w:r w:rsidRPr="0007414B">
        <w:rPr>
          <w:rFonts w:cs="Segoe UI"/>
        </w:rPr>
        <w:fldChar w:fldCharType="separate"/>
      </w:r>
      <w:r w:rsidRPr="0007414B">
        <w:rPr>
          <w:rFonts w:cs="Segoe UI"/>
          <w:noProof/>
        </w:rPr>
        <w:t>(Manatū Hauora 2017)</w:t>
      </w:r>
      <w:r w:rsidRPr="0007414B">
        <w:rPr>
          <w:rFonts w:cs="Segoe UI"/>
        </w:rPr>
        <w:fldChar w:fldCharType="end"/>
      </w:r>
      <w:r w:rsidRPr="0007414B">
        <w:rPr>
          <w:rFonts w:cs="Segoe UI"/>
        </w:rPr>
        <w:t>.</w:t>
      </w:r>
    </w:p>
    <w:p w14:paraId="5E84DDB4" w14:textId="77777777" w:rsidR="00B51F42" w:rsidRPr="0007414B" w:rsidRDefault="00B51F42" w:rsidP="00B51F42">
      <w:pPr>
        <w:rPr>
          <w:rFonts w:cs="Segoe UI"/>
          <w:szCs w:val="21"/>
        </w:rPr>
      </w:pPr>
    </w:p>
    <w:p w14:paraId="2A3A35EF" w14:textId="77777777" w:rsidR="00B51F42" w:rsidRPr="0007414B" w:rsidRDefault="00B51F42" w:rsidP="00B51F42">
      <w:pPr>
        <w:rPr>
          <w:rFonts w:cs="Segoe UI"/>
        </w:rPr>
      </w:pPr>
      <w:r w:rsidRPr="0007414B">
        <w:rPr>
          <w:rFonts w:cs="Segoe UI"/>
        </w:rPr>
        <w:t>Projected changes to the population of Aotearoa New Zealand between 2022 and 2043 are that:</w:t>
      </w:r>
    </w:p>
    <w:p w14:paraId="1633C8C0" w14:textId="77777777" w:rsidR="00B51F42" w:rsidRPr="0007414B" w:rsidRDefault="00B51F42" w:rsidP="00B51F42">
      <w:pPr>
        <w:pStyle w:val="Bullet"/>
      </w:pPr>
      <w:r w:rsidRPr="0007414B">
        <w:t>Māori will grow from 17.3% (889,000 people) to 20.9% (1,239,800 people)</w:t>
      </w:r>
      <w:r w:rsidRPr="00712888">
        <w:t xml:space="preserve"> </w:t>
      </w:r>
    </w:p>
    <w:p w14:paraId="5BA926B2" w14:textId="77777777" w:rsidR="00B51F42" w:rsidRPr="0007414B" w:rsidRDefault="00B51F42" w:rsidP="00B51F42">
      <w:pPr>
        <w:pStyle w:val="Bullet"/>
      </w:pPr>
      <w:r w:rsidRPr="0007414B">
        <w:t>the Pacific population will grow from 9.0% (459,200 people) to 11.2% (664,600 people)</w:t>
      </w:r>
    </w:p>
    <w:p w14:paraId="033E564E" w14:textId="77777777" w:rsidR="00B51F42" w:rsidRPr="0007414B" w:rsidRDefault="00B51F42" w:rsidP="00B51F42">
      <w:pPr>
        <w:pStyle w:val="Bullet"/>
      </w:pPr>
      <w:r w:rsidRPr="0007414B">
        <w:t>as early as 2028, the Asian population will grow from 16.6% (850,400 people) to 24.5% (1,449,200 people) to become the second-largest ethnic group</w:t>
      </w:r>
    </w:p>
    <w:p w14:paraId="0981A76F" w14:textId="77777777" w:rsidR="00B51F42" w:rsidRPr="0007414B" w:rsidRDefault="00B51F42" w:rsidP="00B51F42">
      <w:pPr>
        <w:pStyle w:val="Bullet"/>
      </w:pPr>
      <w:r w:rsidRPr="0007414B">
        <w:t xml:space="preserve">the European/other population will grow in number, but its share of the </w:t>
      </w:r>
      <w:r>
        <w:t xml:space="preserve">total </w:t>
      </w:r>
      <w:r w:rsidRPr="0007414B">
        <w:t>population will fall from 69.7% (3,573,600 people) to 65.4% (3,871,800 people)</w:t>
      </w:r>
    </w:p>
    <w:p w14:paraId="4E011089" w14:textId="77777777" w:rsidR="00B51F42" w:rsidRPr="0007414B" w:rsidRDefault="00B51F42" w:rsidP="00B51F42">
      <w:pPr>
        <w:pStyle w:val="Bullet"/>
      </w:pPr>
      <w:r w:rsidRPr="0007414B">
        <w:t xml:space="preserve">the Middle Eastern, Latin American, and African (MELAA) ethnic group will increase its share of the </w:t>
      </w:r>
      <w:r>
        <w:t xml:space="preserve">total </w:t>
      </w:r>
      <w:r w:rsidRPr="0007414B">
        <w:t>population from 1.8% (92,800 people) to 2.8% (167,600 people)</w:t>
      </w:r>
    </w:p>
    <w:p w14:paraId="19E445FB" w14:textId="77777777" w:rsidR="00B51F42" w:rsidRPr="0007414B" w:rsidRDefault="00B51F42" w:rsidP="00B51F42">
      <w:pPr>
        <w:pStyle w:val="Bullet"/>
      </w:pPr>
      <w:r>
        <w:t xml:space="preserve">the total population will grow from 5.1 million to 5.9 million </w:t>
      </w:r>
      <w:r w:rsidRPr="0007414B">
        <w:fldChar w:fldCharType="begin"/>
      </w:r>
      <w:r>
        <w:instrText xml:space="preserve"> ADDIN EN.CITE &lt;EndNote&gt;&lt;Cite&gt;&lt;Author&gt;Stats NZ&lt;/Author&gt;&lt;Year&gt;2022&lt;/Year&gt;&lt;RecNum&gt;281&lt;/RecNum&gt;&lt;DisplayText&gt;(Stats NZ 2022d)&lt;/DisplayText&gt;&lt;record&gt;&lt;rec-number&gt;281&lt;/rec-number&gt;&lt;foreign-keys&gt;&lt;key app="EN" db-id="aaepvppzs5wtfse95vsp2wahsrtvva2vvdet" timestamp="1683240047"&gt;281&lt;/key&gt;&lt;/foreign-keys&gt;&lt;ref-type name="Web Page"&gt;12&lt;/ref-type&gt;&lt;contributors&gt;&lt;authors&gt;&lt;author&gt;Stats NZ,&lt;/author&gt;&lt;/authors&gt;&lt;/contributors&gt;&lt;titles&gt;&lt;title&gt;&lt;style face="normal" font="default" size="100%"&gt;One in three children projected to be M&lt;/style&gt;&lt;style face="normal" font="default" charset="238" size="100%"&gt;āori&lt;/style&gt;&lt;/title&gt;&lt;/titles&gt;&lt;number&gt;5 May 2023&lt;/number&gt;&lt;dates&gt;&lt;year&gt;2022&lt;/year&gt;&lt;/dates&gt;&lt;urls&gt;&lt;related-urls&gt;&lt;url&gt;www.stats.govt.nz/news/one-in-three-children-projected-to-be-maori/&lt;/url&gt;&lt;/related-urls&gt;&lt;/urls&gt;&lt;/record&gt;&lt;/Cite&gt;&lt;/EndNote&gt;</w:instrText>
      </w:r>
      <w:r w:rsidRPr="0007414B">
        <w:fldChar w:fldCharType="separate"/>
      </w:r>
      <w:r w:rsidRPr="0007414B">
        <w:rPr>
          <w:noProof/>
        </w:rPr>
        <w:t>(Stats NZ 2022d)</w:t>
      </w:r>
      <w:r w:rsidRPr="0007414B">
        <w:fldChar w:fldCharType="end"/>
      </w:r>
      <w:r>
        <w:t>.</w:t>
      </w:r>
    </w:p>
    <w:p w14:paraId="655D8027" w14:textId="77777777" w:rsidR="00B51F42" w:rsidRPr="0007414B" w:rsidRDefault="00B51F42" w:rsidP="00B51F42">
      <w:pPr>
        <w:rPr>
          <w:rFonts w:cs="Segoe UI"/>
        </w:rPr>
      </w:pPr>
    </w:p>
    <w:p w14:paraId="4F0A4D6E" w14:textId="77777777" w:rsidR="00B51F42" w:rsidRPr="0007414B" w:rsidRDefault="00B51F42" w:rsidP="00B51F42">
      <w:pPr>
        <w:rPr>
          <w:rFonts w:cs="Segoe UI"/>
        </w:rPr>
      </w:pPr>
      <w:r w:rsidRPr="0007414B">
        <w:rPr>
          <w:rFonts w:cs="Segoe UI"/>
        </w:rPr>
        <w:t xml:space="preserve">The higher projected growth of Māori and Pacific ethnic groups is </w:t>
      </w:r>
      <w:r>
        <w:rPr>
          <w:rFonts w:cs="Segoe UI"/>
        </w:rPr>
        <w:t xml:space="preserve">due to </w:t>
      </w:r>
      <w:r w:rsidRPr="0007414B">
        <w:rPr>
          <w:rFonts w:cs="Segoe UI"/>
        </w:rPr>
        <w:t xml:space="preserve">their younger </w:t>
      </w:r>
      <w:r>
        <w:rPr>
          <w:rFonts w:cs="Segoe UI"/>
        </w:rPr>
        <w:t>population structure and</w:t>
      </w:r>
      <w:r w:rsidRPr="0007414B">
        <w:rPr>
          <w:rFonts w:cs="Segoe UI"/>
        </w:rPr>
        <w:t xml:space="preserve"> above-average birth rates. Figure 3 shows the projected increase for all major ethnic population groups. Note that, because individuals can belong to more than one ethnic group, the ethnic populations do not sum to the total population. </w:t>
      </w:r>
    </w:p>
    <w:p w14:paraId="59495910" w14:textId="77777777" w:rsidR="00B51F42" w:rsidRPr="0007414B" w:rsidRDefault="00B51F42" w:rsidP="00B51F42">
      <w:pPr>
        <w:rPr>
          <w:rFonts w:cs="Segoe UI"/>
          <w:sz w:val="20"/>
        </w:rPr>
      </w:pPr>
    </w:p>
    <w:p w14:paraId="6DEAAE6D" w14:textId="007575CA" w:rsidR="00B51F42" w:rsidRPr="0007414B" w:rsidRDefault="00B51F42" w:rsidP="00B51F42">
      <w:pPr>
        <w:pStyle w:val="Figure"/>
      </w:pPr>
      <w:bookmarkStart w:id="21" w:name="_Ref130902398"/>
      <w:bookmarkStart w:id="22" w:name="_Toc138326945"/>
      <w:bookmarkStart w:id="23" w:name="_Toc138409926"/>
      <w:r>
        <w:t xml:space="preserve">Figure </w:t>
      </w:r>
      <w:fldSimple w:instr=" SEQ Figure \* ARABIC ">
        <w:r w:rsidR="00BE208D">
          <w:rPr>
            <w:noProof/>
          </w:rPr>
          <w:t>3</w:t>
        </w:r>
      </w:fldSimple>
      <w:bookmarkEnd w:id="21"/>
      <w:r>
        <w:t>: Past and projected population of Aotearoa New Zealand, in total and by ethnic group, 2018–2043</w:t>
      </w:r>
      <w:bookmarkEnd w:id="22"/>
      <w:bookmarkEnd w:id="23"/>
    </w:p>
    <w:p w14:paraId="5F326FDA" w14:textId="77777777" w:rsidR="00B51F42" w:rsidRPr="0007414B" w:rsidRDefault="00B51F42" w:rsidP="00B51F42">
      <w:r w:rsidRPr="0007414B">
        <w:rPr>
          <w:noProof/>
        </w:rPr>
        <w:drawing>
          <wp:inline distT="0" distB="0" distL="0" distR="0" wp14:anchorId="2536BFD5" wp14:editId="13BEA0A2">
            <wp:extent cx="5108027" cy="2554014"/>
            <wp:effectExtent l="0" t="0" r="0" b="0"/>
            <wp:docPr id="31" name="Picture 31" descr="This is a time series chart projecting the New Zealand population by ethnic group between 2018-2043. New Zealand’s population is projected to grow from 4,900,600 in 2018 to 5,924,000 in 2043. The proportion of European/other is projected to fall from 70.2% in 2018 to 65.4% in 2043. The proportion of Asian is projected to increase from 15.7% in 2018 to 24.5 % in 2043. The proportion of Pacific peoples is projected to increase from 8.3% in 2018 to 11.2% in 2043. The proportion of Māori is projected to increase from 16.7% in 2018 to 20.9% in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a time series chart projecting the New Zealand population by ethnic group between 2018-2043. New Zealand’s population is projected to grow from 4,900,600 in 2018 to 5,924,000 in 2043. The proportion of European/other is projected to fall from 70.2% in 2018 to 65.4% in 2043. The proportion of Asian is projected to increase from 15.7% in 2018 to 24.5 % in 2043. The proportion of Pacific peoples is projected to increase from 8.3% in 2018 to 11.2% in 2043. The proportion of Māori is projected to increase from 16.7% in 2018 to 20.9% in 20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19033" cy="2559517"/>
                    </a:xfrm>
                    <a:prstGeom prst="rect">
                      <a:avLst/>
                    </a:prstGeom>
                  </pic:spPr>
                </pic:pic>
              </a:graphicData>
            </a:graphic>
          </wp:inline>
        </w:drawing>
      </w:r>
    </w:p>
    <w:p w14:paraId="2CF9D989" w14:textId="77777777" w:rsidR="00B51F42" w:rsidRPr="00B51F42" w:rsidRDefault="00B51F42" w:rsidP="00B51F42">
      <w:pPr>
        <w:pStyle w:val="Source"/>
        <w:rPr>
          <w:rStyle w:val="Hyperlink"/>
          <w:b w:val="0"/>
          <w:color w:val="auto"/>
        </w:rPr>
      </w:pPr>
      <w:r w:rsidRPr="00B51F42">
        <w:t xml:space="preserve">Source: </w:t>
      </w:r>
      <w:hyperlink r:id="rId37">
        <w:r w:rsidRPr="00B51F42">
          <w:rPr>
            <w:rStyle w:val="Hyperlink"/>
          </w:rPr>
          <w:t>Stats NZ (2022</w:t>
        </w:r>
      </w:hyperlink>
      <w:r w:rsidRPr="00B51F42">
        <w:rPr>
          <w:rStyle w:val="Hyperlink"/>
        </w:rPr>
        <w:t>d)</w:t>
      </w:r>
    </w:p>
    <w:p w14:paraId="081B205C" w14:textId="77777777" w:rsidR="00B51F42" w:rsidRPr="0007414B" w:rsidRDefault="00B51F42" w:rsidP="00B51F42"/>
    <w:p w14:paraId="13B516C2" w14:textId="77777777" w:rsidR="00B51F42" w:rsidRPr="0007414B" w:rsidRDefault="00B51F42" w:rsidP="00B51F42">
      <w:pPr>
        <w:rPr>
          <w:rFonts w:cs="Segoe UI"/>
        </w:rPr>
      </w:pPr>
      <w:r w:rsidRPr="0007414B">
        <w:rPr>
          <w:rFonts w:cs="Segoe UI"/>
        </w:rPr>
        <w:t>The number of young people who identify with more than one ethnic</w:t>
      </w:r>
      <w:r>
        <w:rPr>
          <w:rFonts w:cs="Segoe UI"/>
        </w:rPr>
        <w:t xml:space="preserve"> group</w:t>
      </w:r>
      <w:r w:rsidRPr="0007414B">
        <w:rPr>
          <w:rFonts w:cs="Segoe UI"/>
        </w:rPr>
        <w:t xml:space="preserve"> is increasing, which is another cause </w:t>
      </w:r>
      <w:r>
        <w:rPr>
          <w:rFonts w:cs="Segoe UI"/>
        </w:rPr>
        <w:t>for</w:t>
      </w:r>
      <w:r w:rsidRPr="0007414B">
        <w:rPr>
          <w:rFonts w:cs="Segoe UI"/>
        </w:rPr>
        <w:t xml:space="preserve"> the growth in ethnic diversity </w:t>
      </w:r>
      <w:r w:rsidRPr="0007414B">
        <w:rPr>
          <w:rFonts w:cs="Segoe UI"/>
        </w:rPr>
        <w:fldChar w:fldCharType="begin"/>
      </w:r>
      <w:r>
        <w:rPr>
          <w:rFonts w:cs="Segoe UI"/>
        </w:rPr>
        <w:instrText xml:space="preserve"> ADDIN EN.CITE &lt;EndNote&gt;&lt;Cite&gt;&lt;Author&gt;Stats NZ&lt;/Author&gt;&lt;Year&gt;2022&lt;/Year&gt;&lt;RecNum&gt;281&lt;/RecNum&gt;&lt;DisplayText&gt;(Stats NZ 2022d)&lt;/DisplayText&gt;&lt;record&gt;&lt;rec-number&gt;281&lt;/rec-number&gt;&lt;foreign-keys&gt;&lt;key app="EN" db-id="aaepvppzs5wtfse95vsp2wahsrtvva2vvdet" timestamp="1683240047"&gt;281&lt;/key&gt;&lt;/foreign-keys&gt;&lt;ref-type name="Web Page"&gt;12&lt;/ref-type&gt;&lt;contributors&gt;&lt;authors&gt;&lt;author&gt;Stats NZ,&lt;/author&gt;&lt;/authors&gt;&lt;/contributors&gt;&lt;titles&gt;&lt;title&gt;&lt;style face="normal" font="default" size="100%"&gt;One in three children projected to be M&lt;/style&gt;&lt;style face="normal" font="default" charset="238" size="100%"&gt;āori&lt;/style&gt;&lt;/title&gt;&lt;/titles&gt;&lt;number&gt;5 May 2023&lt;/number&gt;&lt;dates&gt;&lt;year&gt;2022&lt;/year&gt;&lt;/dates&gt;&lt;urls&gt;&lt;related-urls&gt;&lt;url&gt;www.stats.govt.nz/news/one-in-three-children-projected-to-be-maori/&lt;/url&gt;&lt;/related-urls&gt;&lt;/urls&gt;&lt;/record&gt;&lt;/Cite&gt;&lt;/EndNote&gt;</w:instrText>
      </w:r>
      <w:r w:rsidRPr="0007414B">
        <w:rPr>
          <w:rFonts w:cs="Segoe UI"/>
        </w:rPr>
        <w:fldChar w:fldCharType="separate"/>
      </w:r>
      <w:r w:rsidRPr="0007414B">
        <w:rPr>
          <w:rFonts w:cs="Segoe UI"/>
          <w:noProof/>
        </w:rPr>
        <w:t>(Stats NZ 2022d)</w:t>
      </w:r>
      <w:r w:rsidRPr="0007414B">
        <w:rPr>
          <w:rFonts w:cs="Segoe UI"/>
        </w:rPr>
        <w:fldChar w:fldCharType="end"/>
      </w:r>
      <w:r w:rsidRPr="0007414B">
        <w:rPr>
          <w:rFonts w:cs="Segoe UI"/>
        </w:rPr>
        <w:t xml:space="preserve">. In the Growing Up in New Zealand study, one-third of young people aged 12 years identified with more than one ethnic group </w:t>
      </w:r>
      <w:r w:rsidRPr="0007414B">
        <w:rPr>
          <w:rFonts w:cs="Segoe UI"/>
        </w:rPr>
        <w:fldChar w:fldCharType="begin"/>
      </w:r>
      <w:r>
        <w:rPr>
          <w:rFonts w:cs="Segoe UI"/>
        </w:rPr>
        <w:instrText xml:space="preserve"> ADDIN EN.CITE &lt;EndNote&gt;&lt;Cite&gt;&lt;Author&gt;Neumann&lt;/Author&gt;&lt;Year&gt;2023&lt;/Year&gt;&lt;RecNum&gt;283&lt;/RecNum&gt;&lt;DisplayText&gt;(Neumann et al 2023)&lt;/DisplayText&gt;&lt;record&gt;&lt;rec-number&gt;283&lt;/rec-number&gt;&lt;foreign-keys&gt;&lt;key app="EN" db-id="aaepvppzs5wtfse95vsp2wahsrtvva2vvdet" timestamp="1683240308"&gt;283&lt;/key&gt;&lt;/foreign-keys&gt;&lt;ref-type name="Web Page"&gt;12&lt;/ref-type&gt;&lt;contributors&gt;&lt;authors&gt;&lt;author&gt;Neumann, Denise&lt;/author&gt;&lt;author&gt;Yao, Esther&lt;/author&gt;&lt;author&gt;Fenaughty, John&lt;/author&gt;&lt;author&gt;Liang, Renee&lt;/author&gt;&lt;author&gt;Kingi, Te Kani&lt;/author&gt;&lt;author&gt;Taufa, Seini&lt;/author&gt;&lt;author&gt;Carr, Polly Atatoa&lt;/author&gt;&lt;author&gt;Paine, Sarah-Jane&lt;/author&gt;&lt;/authors&gt;&lt;/contributors&gt;&lt;titles&gt;&lt;title&gt;Now we are twelve: ethnic and gender identity at 12 years old&lt;/title&gt;&lt;/titles&gt;&lt;number&gt;5 May 2023&lt;/number&gt;&lt;dates&gt;&lt;year&gt;2023&lt;/year&gt;&lt;/dates&gt;&lt;urls&gt;&lt;related-urls&gt;&lt;url&gt;https://assets-global.website-files.com/63b7328effdfd4238ae0d82b/6477d04a93cbb8fad11d4a24_NWA12_1_Ethnic%20and%20Gender%20Identity%20FINAL%20PDF%20v2.pdf&lt;/url&gt;&lt;/related-urls&gt;&lt;/urls&gt;&lt;/record&gt;&lt;/Cite&gt;&lt;/EndNote&gt;</w:instrText>
      </w:r>
      <w:r w:rsidRPr="0007414B">
        <w:rPr>
          <w:rFonts w:cs="Segoe UI"/>
        </w:rPr>
        <w:fldChar w:fldCharType="separate"/>
      </w:r>
      <w:r>
        <w:rPr>
          <w:rFonts w:cs="Segoe UI"/>
          <w:noProof/>
        </w:rPr>
        <w:t>(Neumann et al 2023)</w:t>
      </w:r>
      <w:r w:rsidRPr="0007414B">
        <w:rPr>
          <w:rFonts w:cs="Segoe UI"/>
        </w:rPr>
        <w:fldChar w:fldCharType="end"/>
      </w:r>
      <w:r w:rsidRPr="0007414B">
        <w:rPr>
          <w:rFonts w:cs="Segoe UI"/>
        </w:rPr>
        <w:t>. As we have noted, this report includes each person in each high-level ethnic group they identify with (</w:t>
      </w:r>
      <w:r w:rsidRPr="0007414B">
        <w:t>Māori, Pacific peoples, Asian</w:t>
      </w:r>
      <w:r>
        <w:t xml:space="preserve"> and </w:t>
      </w:r>
      <w:r w:rsidRPr="0007414B">
        <w:t>European/other</w:t>
      </w:r>
      <w:r w:rsidRPr="0007414B">
        <w:rPr>
          <w:rFonts w:cs="Segoe UI"/>
        </w:rPr>
        <w:t>)</w:t>
      </w:r>
      <w:r>
        <w:rPr>
          <w:rFonts w:cs="Segoe UI"/>
        </w:rPr>
        <w:t>,</w:t>
      </w:r>
      <w:r w:rsidRPr="0007414B">
        <w:rPr>
          <w:rFonts w:cs="Segoe UI"/>
        </w:rPr>
        <w:t xml:space="preserve"> so an increase in the number of people identifying with more than one ethnic</w:t>
      </w:r>
      <w:r>
        <w:rPr>
          <w:rFonts w:cs="Segoe UI"/>
        </w:rPr>
        <w:t xml:space="preserve"> group</w:t>
      </w:r>
      <w:r w:rsidRPr="0007414B">
        <w:rPr>
          <w:rFonts w:cs="Segoe UI"/>
        </w:rPr>
        <w:t xml:space="preserve"> will contribute to greater ethnic </w:t>
      </w:r>
      <w:r w:rsidRPr="0007414B">
        <w:rPr>
          <w:rFonts w:cs="Segoe UI"/>
        </w:rPr>
        <w:lastRenderedPageBreak/>
        <w:t xml:space="preserve">diversity. However, this does not capture the full extent of diversity because each high-level group contains many different ethnicities. The 2018 Census counted over 160 ethnic groups living in Aotearoa New Zealand </w:t>
      </w:r>
      <w:r w:rsidRPr="0007414B">
        <w:rPr>
          <w:rFonts w:cs="Segoe UI"/>
        </w:rPr>
        <w:fldChar w:fldCharType="begin"/>
      </w:r>
      <w:r>
        <w:rPr>
          <w:rFonts w:cs="Segoe UI"/>
        </w:rPr>
        <w:instrText xml:space="preserve"> ADDIN EN.CITE &lt;EndNote&gt;&lt;Cite&gt;&lt;Author&gt;Stats NZ&lt;/Author&gt;&lt;Year&gt;2020&lt;/Year&gt;&lt;RecNum&gt;284&lt;/RecNum&gt;&lt;DisplayText&gt;(Stats NZ 2020a)&lt;/DisplayText&gt;&lt;record&gt;&lt;rec-number&gt;284&lt;/rec-number&gt;&lt;foreign-keys&gt;&lt;key app="EN" db-id="aaepvppzs5wtfse95vsp2wahsrtvva2vvdet" timestamp="1683240436"&gt;284&lt;/key&gt;&lt;/foreign-keys&gt;&lt;ref-type name="Web Page"&gt;12&lt;/ref-type&gt;&lt;contributors&gt;&lt;authors&gt;&lt;author&gt;Stats NZ,&lt;/author&gt;&lt;/authors&gt;&lt;/contributors&gt;&lt;titles&gt;&lt;title&gt;2018 Census ethnic group summaries&lt;/title&gt;&lt;/titles&gt;&lt;number&gt;5 May 2023&lt;/number&gt;&lt;dates&gt;&lt;year&gt;2020&lt;/year&gt;&lt;/dates&gt;&lt;urls&gt;&lt;related-urls&gt;&lt;url&gt;www.stats.govt.nz/tools/2018-census-ethnic-group-summaries&lt;/url&gt;&lt;/related-urls&gt;&lt;/urls&gt;&lt;/record&gt;&lt;/Cite&gt;&lt;/EndNote&gt;</w:instrText>
      </w:r>
      <w:r w:rsidRPr="0007414B">
        <w:rPr>
          <w:rFonts w:cs="Segoe UI"/>
        </w:rPr>
        <w:fldChar w:fldCharType="separate"/>
      </w:r>
      <w:r w:rsidRPr="0007414B">
        <w:rPr>
          <w:rFonts w:cs="Segoe UI"/>
          <w:noProof/>
        </w:rPr>
        <w:t>(Stats NZ 2020a)</w:t>
      </w:r>
      <w:r w:rsidRPr="0007414B">
        <w:rPr>
          <w:rFonts w:cs="Segoe UI"/>
        </w:rPr>
        <w:fldChar w:fldCharType="end"/>
      </w:r>
      <w:r w:rsidRPr="0007414B">
        <w:rPr>
          <w:rFonts w:cs="Segoe UI"/>
        </w:rPr>
        <w:t>.</w:t>
      </w:r>
    </w:p>
    <w:p w14:paraId="4C651F05" w14:textId="77777777" w:rsidR="00B51F42" w:rsidRPr="00B51F42" w:rsidRDefault="00B51F42" w:rsidP="00B51F42">
      <w:pPr>
        <w:rPr>
          <w:rFonts w:eastAsia="Arial Unicode MS"/>
        </w:rPr>
      </w:pPr>
    </w:p>
    <w:p w14:paraId="0E443BDD" w14:textId="7E22E93D" w:rsidR="00B51F42" w:rsidRPr="0007414B" w:rsidRDefault="00B51F42" w:rsidP="00B51F42">
      <w:pPr>
        <w:rPr>
          <w:rFonts w:cs="Segoe UI"/>
        </w:rPr>
      </w:pPr>
      <w:r w:rsidRPr="0007414B">
        <w:rPr>
          <w:rFonts w:cs="Segoe UI"/>
        </w:rPr>
        <w:fldChar w:fldCharType="begin"/>
      </w:r>
      <w:r w:rsidRPr="0007414B">
        <w:rPr>
          <w:rFonts w:cs="Segoe UI"/>
        </w:rPr>
        <w:instrText xml:space="preserve"> REF _Ref133844055 \h  \* MERGEFORMAT </w:instrText>
      </w:r>
      <w:r w:rsidRPr="0007414B">
        <w:rPr>
          <w:rFonts w:cs="Segoe UI"/>
        </w:rPr>
      </w:r>
      <w:r w:rsidRPr="0007414B">
        <w:rPr>
          <w:rFonts w:cs="Segoe UI"/>
        </w:rPr>
        <w:fldChar w:fldCharType="separate"/>
      </w:r>
      <w:r w:rsidR="00BE208D" w:rsidRPr="00BE208D">
        <w:rPr>
          <w:rFonts w:cs="Segoe UI"/>
        </w:rPr>
        <w:t>Figure</w:t>
      </w:r>
      <w:r w:rsidR="00BE208D">
        <w:t xml:space="preserve"> </w:t>
      </w:r>
      <w:r w:rsidR="00BE208D">
        <w:rPr>
          <w:noProof/>
        </w:rPr>
        <w:t>4</w:t>
      </w:r>
      <w:r w:rsidRPr="0007414B">
        <w:rPr>
          <w:rFonts w:cs="Segoe UI"/>
        </w:rPr>
        <w:fldChar w:fldCharType="end"/>
      </w:r>
      <w:r w:rsidRPr="0007414B" w:rsidDel="00EC0719">
        <w:rPr>
          <w:rFonts w:cs="Segoe UI"/>
        </w:rPr>
        <w:t xml:space="preserve"> </w:t>
      </w:r>
      <w:r w:rsidRPr="0007414B">
        <w:rPr>
          <w:rFonts w:cs="Segoe UI"/>
        </w:rPr>
        <w:t>shows the age distribution of the estimated population for different ethnic groups in Aotearoa New Zealand. Māori and Pacific ethnic groups have a higher proportion of people in the younger age groups. The European/other population has a higher proportion of people aged 50 years and over.</w:t>
      </w:r>
    </w:p>
    <w:p w14:paraId="6AB9463A" w14:textId="77777777" w:rsidR="00B51F42" w:rsidRPr="0007414B" w:rsidRDefault="00B51F42" w:rsidP="00B51F42">
      <w:pPr>
        <w:rPr>
          <w:rFonts w:cs="Segoe UI"/>
        </w:rPr>
      </w:pPr>
    </w:p>
    <w:p w14:paraId="60C82112" w14:textId="3702BFA2" w:rsidR="00B51F42" w:rsidRPr="0007414B" w:rsidRDefault="00B51F42" w:rsidP="00B51F42">
      <w:pPr>
        <w:pStyle w:val="Figure"/>
      </w:pPr>
      <w:bookmarkStart w:id="24" w:name="_Ref133844055"/>
      <w:bookmarkStart w:id="25" w:name="_Toc138326946"/>
      <w:bookmarkStart w:id="26" w:name="_Toc138409927"/>
      <w:r>
        <w:t xml:space="preserve">Figure </w:t>
      </w:r>
      <w:fldSimple w:instr=" SEQ Figure \* ARABIC ">
        <w:r w:rsidR="00BE208D">
          <w:rPr>
            <w:noProof/>
          </w:rPr>
          <w:t>4</w:t>
        </w:r>
      </w:fldSimple>
      <w:bookmarkEnd w:id="24"/>
      <w:r>
        <w:t>: Estimated population of Aotearoa New Zealand, by ethnic group</w:t>
      </w:r>
      <w:r w:rsidDel="00302AD2">
        <w:t xml:space="preserve"> </w:t>
      </w:r>
      <w:r>
        <w:t>and age group, 2022</w:t>
      </w:r>
      <w:bookmarkEnd w:id="25"/>
      <w:bookmarkEnd w:id="26"/>
    </w:p>
    <w:p w14:paraId="78A98EFF" w14:textId="77777777" w:rsidR="00B51F42" w:rsidRPr="0007414B" w:rsidRDefault="00B51F42" w:rsidP="00B51F42">
      <w:pPr>
        <w:keepNext/>
        <w:rPr>
          <w:rFonts w:cs="Segoe UI"/>
        </w:rPr>
      </w:pPr>
      <w:r w:rsidRPr="0007414B">
        <w:rPr>
          <w:noProof/>
        </w:rPr>
        <w:drawing>
          <wp:inline distT="0" distB="0" distL="0" distR="0" wp14:anchorId="63221192" wp14:editId="23C0009A">
            <wp:extent cx="5136263" cy="3668110"/>
            <wp:effectExtent l="0" t="0" r="7620" b="8890"/>
            <wp:docPr id="1823296320" name="Picture 1823296320" descr="A series of 4 bar charts showing the projected population in 5-year age bands for 2022, split into 4 ethnic groups: Māori, Pacific peoples, Asian, and European/other. For the Māori chart, the population size is highest in the 10–14 year age band. It then generally  decreases with age. For the Pacific peoples chart, the population size is highest in the 20–24 year age band. It then generally decreases with age. For the Asian chart there are two peaks; one around the 5–9  year age band, and another larger peak around the 30–34 year age band. For the European/other chart, the population size generally increases with age until the 50–54 year age band. Beyond the 50–54 year age band, the population size decre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0" name="Picture 1823296320" descr="A series of 4 bar charts showing the projected population in 5-year age bands for 2022, split into 4 ethnic groups: Māori, Pacific peoples, Asian, and European/other. For the Māori chart, the population size is highest in the 10–14 year age band. It then generally  decreases with age. For the Pacific peoples chart, the population size is highest in the 20–24 year age band. It then generally decreases with age. For the Asian chart there are two peaks; one around the 5–9  year age band, and another larger peak around the 30–34 year age band. For the European/other chart, the population size generally increases with age until the 50–54 year age band. Beyond the 50–54 year age band, the population size decreases.&#10;"/>
                    <pic:cNvPicPr/>
                  </pic:nvPicPr>
                  <pic:blipFill>
                    <a:blip r:embed="rId38">
                      <a:extLst>
                        <a:ext uri="{28A0092B-C50C-407E-A947-70E740481C1C}">
                          <a14:useLocalDpi xmlns:a14="http://schemas.microsoft.com/office/drawing/2010/main"/>
                        </a:ext>
                      </a:extLst>
                    </a:blip>
                    <a:stretch>
                      <a:fillRect/>
                    </a:stretch>
                  </pic:blipFill>
                  <pic:spPr>
                    <a:xfrm>
                      <a:off x="0" y="0"/>
                      <a:ext cx="5144170" cy="3673757"/>
                    </a:xfrm>
                    <a:prstGeom prst="rect">
                      <a:avLst/>
                    </a:prstGeom>
                  </pic:spPr>
                </pic:pic>
              </a:graphicData>
            </a:graphic>
          </wp:inline>
        </w:drawing>
      </w:r>
    </w:p>
    <w:p w14:paraId="1BDFB637" w14:textId="77777777" w:rsidR="00B51F42" w:rsidRPr="00B51F42" w:rsidRDefault="00B51F42" w:rsidP="00B51F42">
      <w:pPr>
        <w:pStyle w:val="Source"/>
      </w:pPr>
      <w:r w:rsidRPr="00B51F42">
        <w:t>Source: Te Whatu Ora unpublished data (2023)</w:t>
      </w:r>
    </w:p>
    <w:p w14:paraId="474DB210" w14:textId="17E3DD01" w:rsidR="00025EAD" w:rsidRDefault="00025EAD" w:rsidP="00025EAD">
      <w:pPr>
        <w:pStyle w:val="Heading3"/>
        <w:rPr>
          <w:rFonts w:eastAsia="Arial Unicode MS"/>
        </w:rPr>
      </w:pPr>
      <w:r w:rsidRPr="00025EAD">
        <w:rPr>
          <w:rFonts w:eastAsia="Arial Unicode MS"/>
        </w:rPr>
        <w:t>Structural ageing</w:t>
      </w:r>
    </w:p>
    <w:p w14:paraId="34AD90E4" w14:textId="77777777" w:rsidR="00B51F42" w:rsidRPr="0007414B" w:rsidRDefault="00B51F42" w:rsidP="00B51F42">
      <w:pPr>
        <w:rPr>
          <w:rFonts w:cs="Segoe UI"/>
        </w:rPr>
      </w:pPr>
      <w:r w:rsidRPr="0007414B">
        <w:rPr>
          <w:rFonts w:cs="Segoe UI"/>
        </w:rPr>
        <w:t xml:space="preserve">Population projections indicate that the median age of all ethnic groups will gradually increase over the coming decades </w:t>
      </w:r>
      <w:r w:rsidRPr="0007414B">
        <w:rPr>
          <w:rFonts w:cs="Segoe UI"/>
        </w:rPr>
        <w:fldChar w:fldCharType="begin"/>
      </w:r>
      <w:r>
        <w:rPr>
          <w:rFonts w:cs="Segoe UI"/>
        </w:rPr>
        <w:instrText xml:space="preserve"> ADDIN EN.CITE &lt;EndNote&gt;&lt;Cite&gt;&lt;Author&gt;Stats NZ&lt;/Author&gt;&lt;Year&gt;2022&lt;/Year&gt;&lt;RecNum&gt;341&lt;/RecNum&gt;&lt;DisplayText&gt;(Stats NZ 2022c)&lt;/DisplayText&gt;&lt;record&gt;&lt;rec-number&gt;341&lt;/rec-number&gt;&lt;foreign-keys&gt;&lt;key app="EN" db-id="aaepvppzs5wtfse95vsp2wahsrtvva2vvdet" timestamp="1683673175"&gt;341&lt;/key&gt;&lt;/foreign-keys&gt;&lt;ref-type name="Web Page"&gt;12&lt;/ref-type&gt;&lt;contributors&gt;&lt;authors&gt;&lt;author&gt;Stats NZ,&lt;/author&gt;&lt;/authors&gt;&lt;/contributors&gt;&lt;titles&gt;&lt;title&gt;National population projections: 2022(base)–2073&lt;/title&gt;&lt;/titles&gt;&lt;number&gt;10 May 2023&lt;/number&gt;&lt;dates&gt;&lt;year&gt;2022&lt;/year&gt;&lt;/dates&gt;&lt;urls&gt;&lt;related-urls&gt;&lt;url&gt;www.stats.govt.nz/information-releases/national-population-projections-2022base2073/&lt;/url&gt;&lt;/related-urls&gt;&lt;/urls&gt;&lt;/record&gt;&lt;/Cite&gt;&lt;/EndNote&gt;</w:instrText>
      </w:r>
      <w:r w:rsidRPr="0007414B">
        <w:rPr>
          <w:rFonts w:cs="Segoe UI"/>
        </w:rPr>
        <w:fldChar w:fldCharType="separate"/>
      </w:r>
      <w:r w:rsidRPr="0007414B">
        <w:rPr>
          <w:rFonts w:cs="Segoe UI"/>
          <w:noProof/>
        </w:rPr>
        <w:t>(Stats NZ 2022c)</w:t>
      </w:r>
      <w:r w:rsidRPr="0007414B">
        <w:rPr>
          <w:rFonts w:cs="Segoe UI"/>
        </w:rPr>
        <w:fldChar w:fldCharType="end"/>
      </w:r>
      <w:r w:rsidRPr="0007414B">
        <w:rPr>
          <w:rFonts w:cs="Segoe UI"/>
        </w:rPr>
        <w:t xml:space="preserve">. </w:t>
      </w:r>
      <w:r w:rsidRPr="0007414B">
        <w:rPr>
          <w:rFonts w:cs="Segoe UI"/>
          <w:shd w:val="clear" w:color="auto" w:fill="FFFFFF"/>
        </w:rPr>
        <w:t xml:space="preserve">The main causes of this trend are rising life expectancy (people living longer) and declining fertility (people having fewer children). </w:t>
      </w:r>
      <w:r w:rsidRPr="0007414B">
        <w:rPr>
          <w:rFonts w:cs="Segoe UI"/>
        </w:rPr>
        <w:t xml:space="preserve">However, Māori and Pacific populations will continue to have a much younger age structure than the European/other population because they have higher birth rates. </w:t>
      </w:r>
    </w:p>
    <w:p w14:paraId="019C5592" w14:textId="77777777" w:rsidR="00B51F42" w:rsidRPr="0007414B" w:rsidRDefault="00B51F42" w:rsidP="00B51F42">
      <w:pPr>
        <w:rPr>
          <w:rFonts w:cs="Segoe UI"/>
        </w:rPr>
      </w:pPr>
    </w:p>
    <w:p w14:paraId="658B743D" w14:textId="77777777" w:rsidR="00B51F42" w:rsidRPr="0007414B" w:rsidRDefault="00B51F42" w:rsidP="00B51F42">
      <w:pPr>
        <w:rPr>
          <w:rFonts w:cs="Segoe UI"/>
        </w:rPr>
      </w:pPr>
      <w:r w:rsidRPr="0007414B">
        <w:rPr>
          <w:rFonts w:cs="Segoe UI"/>
        </w:rPr>
        <w:t xml:space="preserve">By 2043, projections are </w:t>
      </w:r>
      <w:r>
        <w:rPr>
          <w:rFonts w:cs="Segoe UI"/>
        </w:rPr>
        <w:t>for</w:t>
      </w:r>
      <w:r w:rsidRPr="0007414B">
        <w:rPr>
          <w:rFonts w:cs="Segoe UI"/>
        </w:rPr>
        <w:t xml:space="preserve"> the population aged 85 years and over </w:t>
      </w:r>
      <w:r w:rsidRPr="0007414B" w:rsidDel="00F4305A">
        <w:rPr>
          <w:rFonts w:cs="Segoe UI"/>
        </w:rPr>
        <w:t>to</w:t>
      </w:r>
      <w:r w:rsidRPr="0007414B">
        <w:rPr>
          <w:rFonts w:cs="Segoe UI"/>
        </w:rPr>
        <w:t xml:space="preserve"> more than double for both males and females, and the population aged 65–84 years will increase by 47.9%. This will add around 496,000 people aged 65 years and over to the population.</w:t>
      </w:r>
    </w:p>
    <w:p w14:paraId="31F73CD3" w14:textId="77777777" w:rsidR="00B51F42" w:rsidRPr="0007414B" w:rsidRDefault="00B51F42" w:rsidP="00B51F42">
      <w:pPr>
        <w:rPr>
          <w:rFonts w:cs="Segoe UI"/>
          <w:szCs w:val="21"/>
        </w:rPr>
      </w:pPr>
    </w:p>
    <w:p w14:paraId="5317C5B7" w14:textId="77777777" w:rsidR="00C941FA" w:rsidRDefault="00B51F42" w:rsidP="00B51F42">
      <w:r w:rsidRPr="0007414B">
        <w:lastRenderedPageBreak/>
        <w:t xml:space="preserve">The ageing population is likely to increase demand for health and disability services, as older people generally use more of these services than younger people </w:t>
      </w:r>
      <w:r w:rsidRPr="0007414B">
        <w:fldChar w:fldCharType="begin"/>
      </w:r>
      <w:r>
        <w:instrText xml:space="preserve"> ADDIN EN.CITE &lt;EndNote&gt;&lt;Cite&gt;&lt;Author&gt;Cornwall&lt;/Author&gt;&lt;Year&gt;2004&lt;/Year&gt;&lt;RecNum&gt;342&lt;/RecNum&gt;&lt;DisplayText&gt;(Cornwall and Davey 2004)&lt;/DisplayText&gt;&lt;record&gt;&lt;rec-number&gt;342&lt;/rec-number&gt;&lt;foreign-keys&gt;&lt;key app="EN" db-id="aaepvppzs5wtfse95vsp2wahsrtvva2vvdet" timestamp="1683682116"&gt;342&lt;/key&gt;&lt;/foreign-keys&gt;&lt;ref-type name="Web Page"&gt;12&lt;/ref-type&gt;&lt;contributors&gt;&lt;authors&gt;&lt;author&gt;Cornwall, Justine&lt;/author&gt;&lt;author&gt;Davey, Judith A&lt;/author&gt;&lt;/authors&gt;&lt;/contributors&gt;&lt;titles&gt;&lt;title&gt;Impact of population ageing in New Zealand on the demand for health and disability support services, and workforce implications&lt;/title&gt;&lt;/titles&gt;&lt;number&gt;5 May 2023&lt;/number&gt;&lt;dates&gt;&lt;year&gt;2004&lt;/year&gt;&lt;/dates&gt;&lt;urls&gt;&lt;related-urls&gt;&lt;url&gt;www.health.govt.nz/system/files/documents/publications/cornwallanddavey.pdf&lt;/url&gt;&lt;/related-urls&gt;&lt;/urls&gt;&lt;/record&gt;&lt;/Cite&gt;&lt;/EndNote&gt;</w:instrText>
      </w:r>
      <w:r w:rsidRPr="0007414B">
        <w:fldChar w:fldCharType="separate"/>
      </w:r>
      <w:r>
        <w:rPr>
          <w:noProof/>
        </w:rPr>
        <w:t>(Cornwall and Davey 2004)</w:t>
      </w:r>
      <w:r w:rsidRPr="0007414B">
        <w:fldChar w:fldCharType="end"/>
      </w:r>
      <w:r w:rsidRPr="0007414B">
        <w:t>. Many diseases, such as cancer, heart disease and Alzheimer’s disease, are more common in older people. Rates of disability also increase with older age.</w:t>
      </w:r>
    </w:p>
    <w:p w14:paraId="37DD3A9A" w14:textId="77777777" w:rsidR="00C941FA" w:rsidRDefault="00C941FA" w:rsidP="00B51F42"/>
    <w:p w14:paraId="574E2DD2" w14:textId="1F18E489" w:rsidR="00B51F42" w:rsidRPr="0007414B" w:rsidRDefault="00B51F42" w:rsidP="00B51F42">
      <w:pPr>
        <w:rPr>
          <w:rFonts w:cs="Segoe UI"/>
        </w:rPr>
      </w:pPr>
      <w:r w:rsidRPr="0007414B">
        <w:rPr>
          <w:rFonts w:cs="Segoe UI"/>
        </w:rPr>
        <w:fldChar w:fldCharType="begin"/>
      </w:r>
      <w:r w:rsidRPr="0007414B">
        <w:rPr>
          <w:rFonts w:cs="Segoe UI"/>
        </w:rPr>
        <w:instrText xml:space="preserve"> REF _Ref132639649 \h  \* MERGEFORMAT </w:instrText>
      </w:r>
      <w:r w:rsidRPr="0007414B">
        <w:rPr>
          <w:rFonts w:cs="Segoe UI"/>
        </w:rPr>
      </w:r>
      <w:r w:rsidRPr="0007414B">
        <w:rPr>
          <w:rFonts w:cs="Segoe UI"/>
        </w:rPr>
        <w:fldChar w:fldCharType="separate"/>
      </w:r>
      <w:r w:rsidR="00BE208D" w:rsidRPr="00BE208D">
        <w:rPr>
          <w:rFonts w:cs="Segoe UI"/>
        </w:rPr>
        <w:t>Figure</w:t>
      </w:r>
      <w:r w:rsidR="00BE208D">
        <w:t xml:space="preserve"> </w:t>
      </w:r>
      <w:r w:rsidR="00BE208D">
        <w:rPr>
          <w:noProof/>
        </w:rPr>
        <w:t>5</w:t>
      </w:r>
      <w:r w:rsidRPr="0007414B">
        <w:rPr>
          <w:rFonts w:cs="Segoe UI"/>
        </w:rPr>
        <w:fldChar w:fldCharType="end"/>
      </w:r>
      <w:r w:rsidRPr="0007414B">
        <w:rPr>
          <w:rFonts w:cs="Segoe UI"/>
        </w:rPr>
        <w:t xml:space="preserve"> shows how the age structure of the population of Aotearoa New Zealand is changing and will </w:t>
      </w:r>
      <w:r>
        <w:rPr>
          <w:rFonts w:cs="Segoe UI"/>
        </w:rPr>
        <w:t xml:space="preserve">continue to </w:t>
      </w:r>
      <w:r w:rsidRPr="0007414B">
        <w:rPr>
          <w:rFonts w:cs="Segoe UI"/>
        </w:rPr>
        <w:t>change, with a focus on</w:t>
      </w:r>
      <w:r w:rsidRPr="0007414B" w:rsidDel="009E0609">
        <w:rPr>
          <w:rFonts w:cs="Segoe UI"/>
        </w:rPr>
        <w:t xml:space="preserve"> </w:t>
      </w:r>
      <w:r w:rsidRPr="0007414B">
        <w:rPr>
          <w:rFonts w:cs="Segoe UI"/>
        </w:rPr>
        <w:t xml:space="preserve">3 years: 2001, 2022 and 2048. The 2048 projected population clearly shows the increase in the older age groups.  </w:t>
      </w:r>
    </w:p>
    <w:p w14:paraId="6D40B71D" w14:textId="77777777" w:rsidR="00B51F42" w:rsidRPr="0007414B" w:rsidRDefault="00B51F42" w:rsidP="00B51F42">
      <w:pPr>
        <w:rPr>
          <w:rFonts w:cs="Segoe UI"/>
          <w:szCs w:val="21"/>
        </w:rPr>
      </w:pPr>
    </w:p>
    <w:p w14:paraId="66BDCDF7" w14:textId="65C4A1AB" w:rsidR="00B51F42" w:rsidRPr="0007414B" w:rsidRDefault="00B51F42" w:rsidP="00B51F42">
      <w:pPr>
        <w:pStyle w:val="Figure"/>
      </w:pPr>
      <w:bookmarkStart w:id="27" w:name="_Ref132639649"/>
      <w:bookmarkStart w:id="28" w:name="_Toc138326947"/>
      <w:bookmarkStart w:id="29" w:name="_Toc138409928"/>
      <w:r>
        <w:t xml:space="preserve">Figure </w:t>
      </w:r>
      <w:fldSimple w:instr=" SEQ Figure \* ARABIC ">
        <w:r w:rsidR="00BE208D">
          <w:rPr>
            <w:noProof/>
          </w:rPr>
          <w:t>5</w:t>
        </w:r>
      </w:fldSimple>
      <w:bookmarkEnd w:id="27"/>
      <w:r>
        <w:t>: Aotearoa New Zealand population, by age group, in 2001, 2022 and (projected) 2048</w:t>
      </w:r>
      <w:bookmarkEnd w:id="28"/>
      <w:bookmarkEnd w:id="29"/>
    </w:p>
    <w:p w14:paraId="1A937571" w14:textId="77777777" w:rsidR="00B51F42" w:rsidRPr="0007414B" w:rsidRDefault="00B51F42" w:rsidP="00B51F42">
      <w:pPr>
        <w:rPr>
          <w:rFonts w:cs="Segoe UI"/>
        </w:rPr>
      </w:pPr>
      <w:r w:rsidRPr="0007414B">
        <w:rPr>
          <w:noProof/>
        </w:rPr>
        <w:drawing>
          <wp:inline distT="0" distB="0" distL="0" distR="0" wp14:anchorId="77D70FFD" wp14:editId="447B0FE6">
            <wp:extent cx="5118537" cy="2558135"/>
            <wp:effectExtent l="0" t="0" r="0" b="0"/>
            <wp:docPr id="1823296321" name="Picture 1823296321" descr="A series of 3 population pyramid charts showing snapshots of the population age distribution at 2001, 2022, and 2048.  The charts show the population of older age groups grew from 2001 to 2022 and is projected to grow yet further by 20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1" name="Picture 1823296321" descr="A series of 3 population pyramid charts showing snapshots of the population age distribution at 2001, 2022, and 2048.  The charts show the population of older age groups grew from 2001 to 2022 and is projected to grow yet further by 2048.&#10;"/>
                    <pic:cNvPicPr/>
                  </pic:nvPicPr>
                  <pic:blipFill>
                    <a:blip r:embed="rId39">
                      <a:extLst>
                        <a:ext uri="{28A0092B-C50C-407E-A947-70E740481C1C}">
                          <a14:useLocalDpi xmlns:a14="http://schemas.microsoft.com/office/drawing/2010/main"/>
                        </a:ext>
                      </a:extLst>
                    </a:blip>
                    <a:stretch>
                      <a:fillRect/>
                    </a:stretch>
                  </pic:blipFill>
                  <pic:spPr>
                    <a:xfrm>
                      <a:off x="0" y="0"/>
                      <a:ext cx="5128661" cy="2563195"/>
                    </a:xfrm>
                    <a:prstGeom prst="rect">
                      <a:avLst/>
                    </a:prstGeom>
                  </pic:spPr>
                </pic:pic>
              </a:graphicData>
            </a:graphic>
          </wp:inline>
        </w:drawing>
      </w:r>
    </w:p>
    <w:p w14:paraId="260D3B6E" w14:textId="77777777" w:rsidR="00B51F42" w:rsidRPr="0007414B" w:rsidRDefault="00B51F42" w:rsidP="00B51F42">
      <w:pPr>
        <w:pStyle w:val="Source"/>
      </w:pPr>
      <w:r w:rsidRPr="0007414B">
        <w:t>Source: Te Whatu Ora unpublished data (2023)</w:t>
      </w:r>
    </w:p>
    <w:p w14:paraId="2302BBF0" w14:textId="77777777" w:rsidR="00025EAD" w:rsidRPr="00025EAD" w:rsidRDefault="00025EAD" w:rsidP="00025EAD">
      <w:pPr>
        <w:pStyle w:val="Heading2"/>
        <w:rPr>
          <w:rFonts w:eastAsia="Arial Unicode MS"/>
        </w:rPr>
      </w:pPr>
      <w:bookmarkStart w:id="30" w:name="_Toc139030809"/>
      <w:r w:rsidRPr="00025EAD">
        <w:rPr>
          <w:rFonts w:eastAsia="Arial Unicode MS"/>
        </w:rPr>
        <w:t>Where New Zealanders live</w:t>
      </w:r>
      <w:bookmarkEnd w:id="30"/>
    </w:p>
    <w:p w14:paraId="5D9DF580" w14:textId="28E4B15A" w:rsidR="00025EAD" w:rsidRDefault="00025EAD" w:rsidP="00025EAD">
      <w:pPr>
        <w:pStyle w:val="Heading3"/>
        <w:rPr>
          <w:rFonts w:eastAsia="Arial Unicode MS"/>
        </w:rPr>
      </w:pPr>
      <w:r w:rsidRPr="00025EAD">
        <w:rPr>
          <w:rFonts w:eastAsia="Arial Unicode MS"/>
        </w:rPr>
        <w:t>Urban and rural populations</w:t>
      </w:r>
    </w:p>
    <w:p w14:paraId="4DCF8FDA" w14:textId="77777777" w:rsidR="00A474DA" w:rsidRPr="0007414B" w:rsidRDefault="00A474DA" w:rsidP="00A474DA">
      <w:r w:rsidRPr="0007414B">
        <w:rPr>
          <w:rFonts w:eastAsiaTheme="minorEastAsia"/>
        </w:rPr>
        <w:t xml:space="preserve">The Geographic Classification for Health (GCH) is an urban–rural classification used to monitor variations in health outcomes between New Zealanders living in urban and rural areas </w:t>
      </w:r>
      <w:r w:rsidRPr="0007414B">
        <w:rPr>
          <w:rFonts w:eastAsiaTheme="minorEastAsia"/>
        </w:rPr>
        <w:fldChar w:fldCharType="begin"/>
      </w:r>
      <w:r>
        <w:rPr>
          <w:rFonts w:eastAsiaTheme="minorEastAsia"/>
        </w:rPr>
        <w:instrText xml:space="preserve"> ADDIN EN.CITE &lt;EndNote&gt;&lt;Cite&gt;&lt;Author&gt;Whitehead&lt;/Author&gt;&lt;Year&gt;2021&lt;/Year&gt;&lt;RecNum&gt;285&lt;/RecNum&gt;&lt;DisplayText&gt;(Whitehead et al 2021)&lt;/DisplayText&gt;&lt;record&gt;&lt;rec-number&gt;285&lt;/rec-number&gt;&lt;foreign-keys&gt;&lt;key app="EN" db-id="aaepvppzs5wtfse95vsp2wahsrtvva2vvdet" timestamp="1683249178"&gt;285&lt;/key&gt;&lt;/foreign-keys&gt;&lt;ref-type name="Web Page"&gt;12&lt;/ref-type&gt;&lt;contributors&gt;&lt;authors&gt;&lt;author&gt;Whitehead, Jesse&lt;/author&gt;&lt;author&gt;Davie, Gabrielle&lt;/author&gt;&lt;author&gt;de Graaf, Brandon&lt;/author&gt;&lt;author&gt;Crengle, Sue&lt;/author&gt;&lt;author&gt;Smith, Michelle&lt;/author&gt;&lt;author&gt;Lawrenson, Ross&lt;/author&gt;&lt;author&gt;Fearnley, Dave&lt;/author&gt;&lt;author&gt;Farrell, Noella&lt;/author&gt;&lt;author&gt;Nixon, Garry&lt;/author&gt;&lt;/authors&gt;&lt;/contributors&gt;&lt;titles&gt;&lt;title&gt;The Geographic Classification for Health&lt;/title&gt;&lt;/titles&gt;&lt;number&gt;5 May 2023&lt;/number&gt;&lt;dates&gt;&lt;year&gt;2021&lt;/year&gt;&lt;/dates&gt;&lt;urls&gt;&lt;related-urls&gt;&lt;url&gt;https://blogs.otago.ac.nz/rural-urbannz/files/2021/07/The-Geographic-Classification-for-Health-Methodology-and-Classification-Report-May-2021.pdf&lt;/url&gt;&lt;/related-urls&gt;&lt;/urls&gt;&lt;/record&gt;&lt;/Cite&gt;&lt;/EndNote&gt;</w:instrText>
      </w:r>
      <w:r w:rsidRPr="0007414B">
        <w:rPr>
          <w:rFonts w:eastAsiaTheme="minorEastAsia"/>
        </w:rPr>
        <w:fldChar w:fldCharType="separate"/>
      </w:r>
      <w:r>
        <w:rPr>
          <w:rFonts w:eastAsiaTheme="minorEastAsia"/>
          <w:noProof/>
        </w:rPr>
        <w:t>(Whitehead et al 2021)</w:t>
      </w:r>
      <w:r w:rsidRPr="0007414B">
        <w:rPr>
          <w:rFonts w:eastAsiaTheme="minorEastAsia"/>
        </w:rPr>
        <w:fldChar w:fldCharType="end"/>
      </w:r>
      <w:r w:rsidRPr="0007414B">
        <w:rPr>
          <w:rFonts w:eastAsiaTheme="minorEastAsia"/>
        </w:rPr>
        <w:t>. It classifies all areas of Aotearoa New Zealand based on how close they are to larger urban areas and how this relates to health</w:t>
      </w:r>
      <w:r>
        <w:rPr>
          <w:rFonts w:eastAsiaTheme="minorEastAsia"/>
        </w:rPr>
        <w:t xml:space="preserve"> services</w:t>
      </w:r>
      <w:r w:rsidRPr="0007414B">
        <w:rPr>
          <w:rFonts w:eastAsiaTheme="minorEastAsia"/>
        </w:rPr>
        <w:t xml:space="preserve">. </w:t>
      </w:r>
    </w:p>
    <w:p w14:paraId="2ECE8992" w14:textId="77777777" w:rsidR="00A474DA" w:rsidRPr="0007414B" w:rsidRDefault="00A474DA" w:rsidP="00A474DA">
      <w:pPr>
        <w:rPr>
          <w:rFonts w:eastAsiaTheme="minorEastAsia"/>
        </w:rPr>
      </w:pPr>
    </w:p>
    <w:p w14:paraId="448064AE" w14:textId="6CBB0DE5" w:rsidR="00A474DA" w:rsidRPr="0007414B" w:rsidRDefault="00A474DA" w:rsidP="00A474DA">
      <w:pPr>
        <w:rPr>
          <w:rStyle w:val="normaltextrun"/>
          <w:rFonts w:cs="Segoe UI"/>
          <w:color w:val="181F1B"/>
          <w:szCs w:val="21"/>
        </w:rPr>
      </w:pPr>
      <w:r w:rsidRPr="0007414B">
        <w:rPr>
          <w:rFonts w:eastAsiaTheme="minorEastAsia"/>
        </w:rPr>
        <w:t xml:space="preserve">When linked to 2022 population projections from Stats NZ, the GCH shows 19% of the population, nearly 900,000 people, lived in areas categorised as rural. </w:t>
      </w:r>
      <w:r w:rsidRPr="0007414B">
        <w:rPr>
          <w:rFonts w:eastAsiaTheme="minorEastAsia"/>
        </w:rPr>
        <w:fldChar w:fldCharType="begin"/>
      </w:r>
      <w:r w:rsidRPr="0007414B">
        <w:rPr>
          <w:rFonts w:eastAsiaTheme="minorEastAsia"/>
        </w:rPr>
        <w:instrText xml:space="preserve"> REF _Ref133996266 \h  \* MERGEFORMAT </w:instrText>
      </w:r>
      <w:r w:rsidRPr="0007414B">
        <w:rPr>
          <w:rFonts w:eastAsiaTheme="minorEastAsia"/>
        </w:rPr>
      </w:r>
      <w:r w:rsidRPr="0007414B">
        <w:rPr>
          <w:rFonts w:eastAsiaTheme="minorEastAsia"/>
        </w:rPr>
        <w:fldChar w:fldCharType="separate"/>
      </w:r>
      <w:r w:rsidR="00BE208D" w:rsidRPr="0007414B">
        <w:t xml:space="preserve">Figure </w:t>
      </w:r>
      <w:r w:rsidR="00BE208D">
        <w:t>6</w:t>
      </w:r>
      <w:r w:rsidRPr="0007414B">
        <w:rPr>
          <w:rFonts w:eastAsiaTheme="minorEastAsia"/>
        </w:rPr>
        <w:fldChar w:fldCharType="end"/>
      </w:r>
      <w:r w:rsidRPr="0007414B">
        <w:rPr>
          <w:rFonts w:eastAsiaTheme="minorEastAsia"/>
        </w:rPr>
        <w:t xml:space="preserve"> </w:t>
      </w:r>
      <w:r w:rsidRPr="0007414B">
        <w:rPr>
          <w:rStyle w:val="normaltextrun"/>
          <w:rFonts w:cs="Segoe UI"/>
          <w:color w:val="181F1B"/>
          <w:szCs w:val="21"/>
        </w:rPr>
        <w:t>presents the proportion of each ethnic group living in rural and urban areas.</w:t>
      </w:r>
      <w:r w:rsidRPr="0007414B">
        <w:rPr>
          <w:rStyle w:val="FootnoteReference"/>
          <w:rFonts w:cs="Segoe UI"/>
          <w:color w:val="181F1B"/>
          <w:szCs w:val="21"/>
        </w:rPr>
        <w:footnoteReference w:id="5"/>
      </w:r>
      <w:r w:rsidRPr="0007414B">
        <w:rPr>
          <w:rStyle w:val="normaltextrun"/>
          <w:rFonts w:cs="Segoe UI"/>
          <w:color w:val="181F1B"/>
          <w:szCs w:val="21"/>
        </w:rPr>
        <w:t xml:space="preserve"> By ethnic group: </w:t>
      </w:r>
    </w:p>
    <w:p w14:paraId="0CA33B5C" w14:textId="77777777" w:rsidR="00A474DA" w:rsidRPr="0007414B" w:rsidRDefault="00A474DA" w:rsidP="00A474DA">
      <w:pPr>
        <w:pStyle w:val="Bullet"/>
        <w:rPr>
          <w:rStyle w:val="normaltextrun"/>
          <w:rFonts w:cs="Segoe UI"/>
          <w:color w:val="181F1B"/>
          <w:szCs w:val="21"/>
        </w:rPr>
      </w:pPr>
      <w:r w:rsidRPr="0007414B">
        <w:rPr>
          <w:rStyle w:val="normaltextrun"/>
          <w:rFonts w:cs="Segoe UI"/>
          <w:color w:val="181F1B"/>
          <w:szCs w:val="21"/>
        </w:rPr>
        <w:t>25.6% of Māori lived in rural areas and 74.4% in urban areas</w:t>
      </w:r>
    </w:p>
    <w:p w14:paraId="6D28EB39" w14:textId="77777777" w:rsidR="00A474DA" w:rsidRPr="0007414B" w:rsidRDefault="00A474DA" w:rsidP="00A474DA">
      <w:pPr>
        <w:pStyle w:val="Bullet"/>
        <w:rPr>
          <w:rStyle w:val="normaltextrun"/>
          <w:rFonts w:cs="Segoe UI"/>
          <w:color w:val="181F1B"/>
          <w:szCs w:val="21"/>
        </w:rPr>
      </w:pPr>
      <w:r w:rsidRPr="0007414B">
        <w:rPr>
          <w:rStyle w:val="normaltextrun"/>
          <w:rFonts w:cs="Segoe UI"/>
          <w:color w:val="181F1B"/>
          <w:szCs w:val="21"/>
        </w:rPr>
        <w:t>6.6% of Pacific peoples lived in rural areas and 93.4% in urban areas</w:t>
      </w:r>
    </w:p>
    <w:p w14:paraId="55D4C964" w14:textId="77777777" w:rsidR="00A474DA" w:rsidRPr="0007414B" w:rsidRDefault="00A474DA" w:rsidP="00A474DA">
      <w:pPr>
        <w:pStyle w:val="Bullet"/>
        <w:rPr>
          <w:rStyle w:val="normaltextrun"/>
          <w:rFonts w:cs="Segoe UI"/>
          <w:color w:val="181F1B"/>
          <w:szCs w:val="21"/>
        </w:rPr>
      </w:pPr>
      <w:r w:rsidRPr="0007414B">
        <w:rPr>
          <w:rStyle w:val="normaltextrun"/>
          <w:rFonts w:cs="Segoe UI"/>
          <w:color w:val="181F1B"/>
          <w:szCs w:val="21"/>
        </w:rPr>
        <w:t>5.7% of the Asian population lived in rural areas and 94.2% in urban areas</w:t>
      </w:r>
    </w:p>
    <w:p w14:paraId="5F3ED984" w14:textId="77777777" w:rsidR="00A474DA" w:rsidRPr="0007414B" w:rsidRDefault="00A474DA" w:rsidP="00A474DA">
      <w:pPr>
        <w:pStyle w:val="Bullet"/>
        <w:rPr>
          <w:rStyle w:val="normaltextrun"/>
          <w:rFonts w:cs="Segoe UI"/>
          <w:color w:val="181F1B"/>
          <w:szCs w:val="21"/>
        </w:rPr>
      </w:pPr>
      <w:r w:rsidRPr="0007414B">
        <w:rPr>
          <w:rStyle w:val="normaltextrun"/>
          <w:rFonts w:cs="Segoe UI"/>
          <w:color w:val="181F1B"/>
          <w:szCs w:val="21"/>
        </w:rPr>
        <w:t>22.4% of European/other lived in rural areas and 77.5% in urban areas.</w:t>
      </w:r>
    </w:p>
    <w:p w14:paraId="6805470A" w14:textId="571AC07D" w:rsidR="00A474DA" w:rsidRPr="0007414B" w:rsidRDefault="00A474DA" w:rsidP="00A474DA">
      <w:pPr>
        <w:pStyle w:val="Figure"/>
      </w:pPr>
      <w:bookmarkStart w:id="31" w:name="_Ref133996266"/>
      <w:bookmarkStart w:id="32" w:name="_Toc138326948"/>
      <w:bookmarkStart w:id="33" w:name="_Toc138409929"/>
      <w:r w:rsidRPr="0007414B">
        <w:lastRenderedPageBreak/>
        <w:t xml:space="preserve">Figure </w:t>
      </w:r>
      <w:r>
        <w:fldChar w:fldCharType="begin"/>
      </w:r>
      <w:r>
        <w:instrText>SEQ Figure \* ARABIC</w:instrText>
      </w:r>
      <w:r>
        <w:fldChar w:fldCharType="separate"/>
      </w:r>
      <w:r w:rsidR="00BE208D">
        <w:rPr>
          <w:noProof/>
        </w:rPr>
        <w:t>6</w:t>
      </w:r>
      <w:r>
        <w:fldChar w:fldCharType="end"/>
      </w:r>
      <w:bookmarkEnd w:id="31"/>
      <w:r w:rsidRPr="0007414B">
        <w:t>:</w:t>
      </w:r>
      <w:r w:rsidRPr="0007414B" w:rsidDel="00FF0ECF">
        <w:t xml:space="preserve"> </w:t>
      </w:r>
      <w:r w:rsidRPr="0007414B">
        <w:t>Percentage of Aotearoa New Zealand population living in rural and urban areas, by ethnic group, 2022</w:t>
      </w:r>
      <w:bookmarkEnd w:id="32"/>
      <w:bookmarkEnd w:id="33"/>
    </w:p>
    <w:p w14:paraId="2D8336FB" w14:textId="77777777" w:rsidR="00A474DA" w:rsidRPr="0007414B" w:rsidRDefault="00A474DA" w:rsidP="00A474DA">
      <w:pPr>
        <w:pStyle w:val="Caption"/>
      </w:pPr>
      <w:r w:rsidRPr="0007414B">
        <w:rPr>
          <w:noProof/>
        </w:rPr>
        <w:drawing>
          <wp:inline distT="0" distB="0" distL="0" distR="0" wp14:anchorId="1897DC0D" wp14:editId="6B1B9AAD">
            <wp:extent cx="5108028" cy="2554014"/>
            <wp:effectExtent l="0" t="0" r="0" b="0"/>
            <wp:docPr id="6" name="Picture 6" descr="A series of four bar charts showing the proportion of rural and urban population by ethnic group in 2022. Māori had the highest proportion living rurally, followed by European/other, Pacific people, and then As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ries of four bar charts showing the proportion of rural and urban population by ethnic group in 2022. Māori had the highest proportion living rurally, followed by European/other, Pacific people, and then Asian.&#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4282" cy="2557141"/>
                    </a:xfrm>
                    <a:prstGeom prst="rect">
                      <a:avLst/>
                    </a:prstGeom>
                  </pic:spPr>
                </pic:pic>
              </a:graphicData>
            </a:graphic>
          </wp:inline>
        </w:drawing>
      </w:r>
    </w:p>
    <w:p w14:paraId="1DE107B0" w14:textId="77777777" w:rsidR="00A474DA" w:rsidRPr="0007414B" w:rsidRDefault="00A474DA" w:rsidP="00A474DA">
      <w:pPr>
        <w:pStyle w:val="Source"/>
        <w:rPr>
          <w:rFonts w:eastAsia="Calibri Light"/>
        </w:rPr>
      </w:pPr>
      <w:r w:rsidRPr="0007414B">
        <w:rPr>
          <w:rFonts w:eastAsia="Calibri Light"/>
        </w:rPr>
        <w:t>Source: Manatū Hauora unpublished data (2023)</w:t>
      </w:r>
    </w:p>
    <w:p w14:paraId="08F1A31C" w14:textId="7961B7B5" w:rsidR="00025EAD" w:rsidRDefault="00025EAD" w:rsidP="00025EAD">
      <w:pPr>
        <w:pStyle w:val="Heading3"/>
        <w:rPr>
          <w:rFonts w:eastAsia="Arial Unicode MS"/>
        </w:rPr>
      </w:pPr>
      <w:r w:rsidRPr="00025EAD">
        <w:rPr>
          <w:rFonts w:eastAsia="Arial Unicode MS"/>
        </w:rPr>
        <w:t>Socioeconomic deprivation</w:t>
      </w:r>
    </w:p>
    <w:p w14:paraId="755C822D" w14:textId="77777777" w:rsidR="00A474DA" w:rsidRPr="0007414B" w:rsidRDefault="00A474DA" w:rsidP="00A474DA">
      <w:pPr>
        <w:rPr>
          <w:rFonts w:cs="Segoe UI"/>
        </w:rPr>
      </w:pPr>
      <w:r w:rsidRPr="0007414B">
        <w:rPr>
          <w:rFonts w:cs="Segoe UI"/>
        </w:rPr>
        <w:t>Here we look at socioeconomic deprivation, based on the categories in the New Zealand Index of Deprivation (NZDep2018). The NZDep2018 measures the level of relative socioeconomic deprivation for each neighbourhood by combining measures of: household income; receiving a benefit; household crowding and quality (damp/mould); single-parent families (</w:t>
      </w:r>
      <w:r w:rsidRPr="0007414B">
        <w:rPr>
          <w:rFonts w:cs="Segoe UI"/>
          <w:color w:val="202122"/>
          <w:shd w:val="clear" w:color="auto" w:fill="FFFFFF"/>
        </w:rPr>
        <w:t xml:space="preserve">according to </w:t>
      </w:r>
      <w:r w:rsidRPr="0007414B">
        <w:rPr>
          <w:rFonts w:cs="Segoe UI"/>
          <w:color w:val="202122"/>
          <w:shd w:val="clear" w:color="auto" w:fill="FFFFFF"/>
        </w:rPr>
        <w:fldChar w:fldCharType="begin"/>
      </w:r>
      <w:r>
        <w:rPr>
          <w:rFonts w:cs="Segoe UI"/>
          <w:color w:val="202122"/>
          <w:shd w:val="clear" w:color="auto" w:fill="FFFFFF"/>
        </w:rPr>
        <w:instrText xml:space="preserve"> ADDIN EN.CITE &lt;EndNote&gt;&lt;Cite AuthorYear="1"&gt;&lt;Author&gt;Stats NZ&lt;/Author&gt;&lt;Year&gt;2020&lt;/Year&gt;&lt;RecNum&gt;286&lt;/RecNum&gt;&lt;DisplayText&gt;Stats NZ (2020e)&lt;/DisplayText&gt;&lt;record&gt;&lt;rec-number&gt;286&lt;/rec-number&gt;&lt;foreign-keys&gt;&lt;key app="EN" db-id="aaepvppzs5wtfse95vsp2wahsrtvva2vvdet" timestamp="1683249287"&gt;286&lt;/key&gt;&lt;/foreign-keys&gt;&lt;ref-type name="Web Page"&gt;12&lt;/ref-type&gt;&lt;contributors&gt;&lt;authors&gt;&lt;author&gt;Stats NZ,&lt;/author&gt;&lt;/authors&gt;&lt;/contributors&gt;&lt;titles&gt;&lt;title&gt;Wellbeing outcomes worse for sole parents&lt;/title&gt;&lt;/titles&gt;&lt;number&gt;5 May 2023&lt;/number&gt;&lt;dates&gt;&lt;year&gt;2020&lt;/year&gt;&lt;/dates&gt;&lt;urls&gt;&lt;related-urls&gt;&lt;url&gt;www.stats.govt.nz/news/wellbeing-outcomes-worse-for-sole-parents/&lt;/url&gt;&lt;/related-urls&gt;&lt;/urls&gt;&lt;/record&gt;&lt;/Cite&gt;&lt;/EndNote&gt;</w:instrText>
      </w:r>
      <w:r w:rsidRPr="0007414B">
        <w:rPr>
          <w:rFonts w:cs="Segoe UI"/>
          <w:color w:val="202122"/>
          <w:shd w:val="clear" w:color="auto" w:fill="FFFFFF"/>
        </w:rPr>
        <w:fldChar w:fldCharType="separate"/>
      </w:r>
      <w:r>
        <w:rPr>
          <w:rFonts w:cs="Segoe UI"/>
          <w:noProof/>
          <w:color w:val="202122"/>
          <w:shd w:val="clear" w:color="auto" w:fill="FFFFFF"/>
        </w:rPr>
        <w:t>Stats NZ (2020e)</w:t>
      </w:r>
      <w:r w:rsidRPr="0007414B">
        <w:rPr>
          <w:rFonts w:cs="Segoe UI"/>
          <w:color w:val="202122"/>
          <w:shd w:val="clear" w:color="auto" w:fill="FFFFFF"/>
        </w:rPr>
        <w:fldChar w:fldCharType="end"/>
      </w:r>
      <w:r w:rsidRPr="0007414B">
        <w:rPr>
          <w:rFonts w:cs="Segoe UI"/>
          <w:color w:val="202122"/>
          <w:shd w:val="clear" w:color="auto" w:fill="FFFFFF"/>
        </w:rPr>
        <w:t>, 83% of single-parents were women</w:t>
      </w:r>
      <w:r>
        <w:rPr>
          <w:rFonts w:cs="Segoe UI"/>
          <w:color w:val="202122"/>
          <w:shd w:val="clear" w:color="auto" w:fill="FFFFFF"/>
        </w:rPr>
        <w:t>)</w:t>
      </w:r>
      <w:r w:rsidRPr="0007414B">
        <w:rPr>
          <w:rFonts w:cs="Segoe UI"/>
          <w:color w:val="202122"/>
          <w:shd w:val="clear" w:color="auto" w:fill="FFFFFF"/>
        </w:rPr>
        <w:t>;</w:t>
      </w:r>
      <w:r w:rsidRPr="0007414B">
        <w:rPr>
          <w:rFonts w:cs="Segoe UI"/>
        </w:rPr>
        <w:t xml:space="preserve"> home ownership; employment status; qualifications; and access to the internet </w:t>
      </w:r>
      <w:r w:rsidRPr="0007414B">
        <w:rPr>
          <w:rFonts w:cs="Segoe UI"/>
        </w:rPr>
        <w:fldChar w:fldCharType="begin"/>
      </w:r>
      <w:r w:rsidRPr="0007414B">
        <w:rPr>
          <w:rFonts w:cs="Segoe UI"/>
        </w:rPr>
        <w:instrText xml:space="preserve"> ADDIN EN.CITE &lt;EndNote&gt;&lt;Cite&gt;&lt;Author&gt;Atkinson&lt;/Author&gt;&lt;Year&gt;2020&lt;/Year&gt;&lt;RecNum&gt;74&lt;/RecNum&gt;&lt;DisplayText&gt;(Atkinson et al 2020)&lt;/DisplayText&gt;&lt;record&gt;&lt;rec-number&gt;74&lt;/rec-number&gt;&lt;foreign-keys&gt;&lt;key app="EN" db-id="aaepvppzs5wtfse95vsp2wahsrtvva2vvdet" timestamp="1632435054"&gt;74&lt;/key&gt;&lt;/foreign-keys&gt;&lt;ref-type name="Web Page"&gt;12&lt;/ref-type&gt;&lt;contributors&gt;&lt;authors&gt;&lt;author&gt;Atkinson, June&lt;/author&gt;&lt;author&gt;Salmond, Clare&lt;/author&gt;&lt;author&gt;Crampton, Peter&lt;/author&gt;&lt;/authors&gt;&lt;/contributors&gt;&lt;titles&gt;&lt;title&gt;NZDep2018 Index of Deprivation&lt;/title&gt;&lt;secondary-title&gt;Wellington: University of Otago&lt;/secondary-title&gt;&lt;/titles&gt;&lt;periodical&gt;&lt;full-title&gt;Wellington: University of Otago&lt;/full-title&gt;&lt;/periodical&gt;&lt;number&gt;5 May 2023&lt;/number&gt;&lt;dates&gt;&lt;year&gt;2020&lt;/year&gt;&lt;/dates&gt;&lt;urls&gt;&lt;related-urls&gt;&lt;url&gt;www.otago.ac.nz/wellington/otago823833.pdf&lt;/url&gt;&lt;/related-urls&gt;&lt;/urls&gt;&lt;/record&gt;&lt;/Cite&gt;&lt;/EndNote&gt;</w:instrText>
      </w:r>
      <w:r w:rsidRPr="0007414B">
        <w:rPr>
          <w:rFonts w:cs="Segoe UI"/>
        </w:rPr>
        <w:fldChar w:fldCharType="separate"/>
      </w:r>
      <w:r w:rsidRPr="0007414B">
        <w:rPr>
          <w:rFonts w:cs="Segoe UI"/>
        </w:rPr>
        <w:t>(Atkinson et al 2020)</w:t>
      </w:r>
      <w:r w:rsidRPr="0007414B">
        <w:rPr>
          <w:rFonts w:cs="Segoe UI"/>
        </w:rPr>
        <w:fldChar w:fldCharType="end"/>
      </w:r>
      <w:r w:rsidRPr="0007414B">
        <w:rPr>
          <w:rFonts w:cs="Segoe UI"/>
        </w:rPr>
        <w:t>. It groups the areas into 5 categories or quintiles, where quintile 1 consists of the 20% of the least deprived areas and quintile 5 consists of the 20% of the most deprived areas in Aotearoa New Zealand.</w:t>
      </w:r>
    </w:p>
    <w:p w14:paraId="78FAFDF1" w14:textId="77777777" w:rsidR="00A474DA" w:rsidRPr="0007414B" w:rsidRDefault="00A474DA" w:rsidP="00A474DA">
      <w:pPr>
        <w:rPr>
          <w:rFonts w:cs="Segoe UI"/>
          <w:szCs w:val="21"/>
        </w:rPr>
      </w:pPr>
    </w:p>
    <w:p w14:paraId="4FED01A8" w14:textId="77777777" w:rsidR="00A474DA" w:rsidRPr="0007414B" w:rsidRDefault="00A474DA" w:rsidP="00A474DA">
      <w:pPr>
        <w:rPr>
          <w:rFonts w:cs="Segoe UI"/>
        </w:rPr>
      </w:pPr>
      <w:r w:rsidRPr="0007414B">
        <w:rPr>
          <w:rFonts w:cs="Segoe UI"/>
        </w:rPr>
        <w:t xml:space="preserve">Living in an area with higher levels of socioeconomic deprivation is clearly associated with worse health </w:t>
      </w:r>
      <w:r w:rsidRPr="0007414B">
        <w:rPr>
          <w:rFonts w:cs="Segoe UI"/>
        </w:rPr>
        <w:fldChar w:fldCharType="begin"/>
      </w:r>
      <w:r>
        <w:rPr>
          <w:rFonts w:cs="Segoe UI"/>
        </w:rPr>
        <w:instrText xml:space="preserve"> ADDIN EN.CITE &lt;EndNote&gt;&lt;Cite&gt;&lt;Author&gt;University of Otago&lt;/Author&gt;&lt;Year&gt;2011&lt;/Year&gt;&lt;RecNum&gt;343&lt;/RecNum&gt;&lt;DisplayText&gt;(University of Otago 2011)&lt;/DisplayText&gt;&lt;record&gt;&lt;rec-number&gt;343&lt;/rec-number&gt;&lt;foreign-keys&gt;&lt;key app="EN" db-id="aaepvppzs5wtfse95vsp2wahsrtvva2vvdet" timestamp="1683760281"&gt;343&lt;/key&gt;&lt;/foreign-keys&gt;&lt;ref-type name="Web Page"&gt;12&lt;/ref-type&gt;&lt;contributors&gt;&lt;authors&gt;&lt;author&gt;University of Otago,&lt;/author&gt;&lt;/authors&gt;&lt;/contributors&gt;&lt;titles&gt;&lt;title&gt;Fact and action sheets on health inequalities&lt;/title&gt;&lt;/titles&gt;&lt;number&gt;11 May 2023&lt;/number&gt;&lt;dates&gt;&lt;year&gt;2011&lt;/year&gt;&lt;/dates&gt;&lt;urls&gt;&lt;related-urls&gt;&lt;url&gt;www.otago.ac.nz/wellington/otago023745.pdf&lt;/url&gt;&lt;/related-urls&gt;&lt;/urls&gt;&lt;/record&gt;&lt;/Cite&gt;&lt;/EndNote&gt;</w:instrText>
      </w:r>
      <w:r w:rsidRPr="0007414B">
        <w:rPr>
          <w:rFonts w:cs="Segoe UI"/>
        </w:rPr>
        <w:fldChar w:fldCharType="separate"/>
      </w:r>
      <w:r w:rsidRPr="0007414B">
        <w:rPr>
          <w:rFonts w:cs="Segoe UI"/>
          <w:noProof/>
        </w:rPr>
        <w:t>(University of Otago 2011)</w:t>
      </w:r>
      <w:r w:rsidRPr="0007414B">
        <w:rPr>
          <w:rFonts w:cs="Segoe UI"/>
        </w:rPr>
        <w:fldChar w:fldCharType="end"/>
      </w:r>
      <w:r w:rsidRPr="0007414B">
        <w:rPr>
          <w:rFonts w:cs="Segoe UI"/>
        </w:rPr>
        <w:t>. L</w:t>
      </w:r>
      <w:r w:rsidRPr="0007414B">
        <w:rPr>
          <w:rFonts w:eastAsia="Calibri Light" w:cs="Segoe UI"/>
        </w:rPr>
        <w:t xml:space="preserve">ife expectancy is around 10 years lower for people living in the most deprived areas than for those living in the least deprived areas </w:t>
      </w:r>
      <w:r w:rsidRPr="0007414B">
        <w:rPr>
          <w:rFonts w:eastAsia="Calibri Light" w:cs="Segoe UI"/>
        </w:rPr>
        <w:fldChar w:fldCharType="begin"/>
      </w:r>
      <w:r>
        <w:rPr>
          <w:rFonts w:eastAsia="Calibri Light" w:cs="Segoe UI"/>
        </w:rPr>
        <w:instrText xml:space="preserve"> ADDIN EN.CITE &lt;EndNote&gt;&lt;Cite&gt;&lt;Author&gt;Stats NZ&lt;/Author&gt;&lt;Year&gt;2021&lt;/Year&gt;&lt;RecNum&gt;339&lt;/RecNum&gt;&lt;DisplayText&gt;(Stats NZ 2021b)&lt;/DisplayText&gt;&lt;record&gt;&lt;rec-number&gt;339&lt;/rec-number&gt;&lt;foreign-keys&gt;&lt;key app="EN" db-id="aaepvppzs5wtfse95vsp2wahsrtvva2vvdet" timestamp="1683623567"&gt;339&lt;/key&gt;&lt;/foreign-keys&gt;&lt;ref-type name="Web Page"&gt;12&lt;/ref-type&gt;&lt;contributors&gt;&lt;authors&gt;&lt;author&gt;Stats NZ,&lt;/author&gt;&lt;/authors&gt;&lt;/contributors&gt;&lt;titles&gt;&lt;title&gt;Growth in life expectancy slows&lt;/title&gt;&lt;/titles&gt;&lt;number&gt;8 May 2023&lt;/number&gt;&lt;dates&gt;&lt;year&gt;2021&lt;/year&gt;&lt;/dates&gt;&lt;urls&gt;&lt;related-urls&gt;&lt;url&gt;www.stats.govt.nz/news/growth-in-life-expectancy-slows/&lt;/url&gt;&lt;/related-urls&gt;&lt;/urls&gt;&lt;/record&gt;&lt;/Cite&gt;&lt;/EndNote&gt;</w:instrText>
      </w:r>
      <w:r w:rsidRPr="0007414B">
        <w:rPr>
          <w:rFonts w:eastAsia="Calibri Light" w:cs="Segoe UI"/>
        </w:rPr>
        <w:fldChar w:fldCharType="separate"/>
      </w:r>
      <w:r w:rsidRPr="0007414B">
        <w:rPr>
          <w:rFonts w:eastAsia="Calibri Light" w:cs="Segoe UI"/>
          <w:noProof/>
        </w:rPr>
        <w:t>(Stats NZ 2021b)</w:t>
      </w:r>
      <w:r w:rsidRPr="0007414B">
        <w:rPr>
          <w:rFonts w:eastAsia="Calibri Light" w:cs="Segoe UI"/>
        </w:rPr>
        <w:fldChar w:fldCharType="end"/>
      </w:r>
      <w:r w:rsidRPr="0007414B">
        <w:rPr>
          <w:rFonts w:eastAsia="Calibri Light" w:cs="Segoe UI"/>
        </w:rPr>
        <w:t>. The infant death rate for the most deprived areas is close to 2 times the rate</w:t>
      </w:r>
      <w:r w:rsidRPr="0007414B" w:rsidDel="001E37A3">
        <w:rPr>
          <w:rFonts w:eastAsia="Calibri Light" w:cs="Segoe UI"/>
        </w:rPr>
        <w:t xml:space="preserve"> </w:t>
      </w:r>
      <w:r w:rsidRPr="0007414B">
        <w:rPr>
          <w:rFonts w:eastAsia="Calibri Light" w:cs="Segoe UI"/>
        </w:rPr>
        <w:t xml:space="preserve">of the least deprived areas </w:t>
      </w:r>
      <w:r w:rsidRPr="0007414B">
        <w:rPr>
          <w:rFonts w:eastAsia="Calibri Light" w:cs="Segoe UI"/>
        </w:rPr>
        <w:fldChar w:fldCharType="begin"/>
      </w:r>
      <w:r w:rsidRPr="0007414B">
        <w:rPr>
          <w:rFonts w:eastAsia="Calibri Light" w:cs="Segoe UI"/>
        </w:rPr>
        <w:instrText xml:space="preserve"> ADDIN EN.CITE &lt;EndNote&gt;&lt;Cite&gt;&lt;Author&gt;Te Whatu Ora&lt;/Author&gt;&lt;Year&gt;2023&lt;/Year&gt;&lt;RecNum&gt;291&lt;/RecNum&gt;&lt;DisplayText&gt;(Te Whatu Ora 2023g)&lt;/DisplayText&gt;&lt;record&gt;&lt;rec-number&gt;291&lt;/rec-number&gt;&lt;foreign-keys&gt;&lt;key app="EN" db-id="aaepvppzs5wtfse95vsp2wahsrtvva2vvdet" timestamp="1683250953"&gt;291&lt;/key&gt;&lt;/foreign-keys&gt;&lt;ref-type name="Web Page"&gt;12&lt;/ref-type&gt;&lt;contributors&gt;&lt;authors&gt;&lt;author&gt;Te Whatu Ora,&lt;/author&gt;&lt;/authors&gt;&lt;/contributors&gt;&lt;titles&gt;&lt;title&gt;Fetal and infant deaths web tool (Data file)&lt;/title&gt;&lt;/titles&gt;&lt;number&gt;28 April 2023&lt;/number&gt;&lt;dates&gt;&lt;year&gt;2023&lt;/year&gt;&lt;/dates&gt;&lt;urls&gt;&lt;related-urls&gt;&lt;url&gt;https://tewhatuora.shinyapps.io/fetal-and-infant-deaths-web-tool/&lt;/url&gt;&lt;/related-urls&gt;&lt;/urls&gt;&lt;/record&gt;&lt;/Cite&gt;&lt;/EndNote&gt;</w:instrText>
      </w:r>
      <w:r w:rsidRPr="0007414B">
        <w:rPr>
          <w:rFonts w:eastAsia="Calibri Light" w:cs="Segoe UI"/>
        </w:rPr>
        <w:fldChar w:fldCharType="separate"/>
      </w:r>
      <w:r w:rsidRPr="0007414B">
        <w:rPr>
          <w:rFonts w:eastAsia="Calibri Light" w:cs="Segoe UI"/>
        </w:rPr>
        <w:t>(Te Whatu Ora 2023g)</w:t>
      </w:r>
      <w:r w:rsidRPr="0007414B">
        <w:rPr>
          <w:rFonts w:eastAsia="Calibri Light" w:cs="Segoe UI"/>
        </w:rPr>
        <w:fldChar w:fldCharType="end"/>
      </w:r>
      <w:r w:rsidRPr="0007414B">
        <w:rPr>
          <w:rFonts w:eastAsia="Calibri Light" w:cs="Segoe UI"/>
        </w:rPr>
        <w:t xml:space="preserve">. </w:t>
      </w:r>
    </w:p>
    <w:p w14:paraId="526574A7" w14:textId="77777777" w:rsidR="00A474DA" w:rsidRPr="0007414B" w:rsidRDefault="00A474DA" w:rsidP="00A474DA">
      <w:pPr>
        <w:rPr>
          <w:rFonts w:cs="Segoe UI"/>
          <w:szCs w:val="21"/>
        </w:rPr>
      </w:pPr>
    </w:p>
    <w:p w14:paraId="193916B8" w14:textId="396CBE61" w:rsidR="00A474DA" w:rsidRPr="0007414B" w:rsidRDefault="00A474DA" w:rsidP="00A474DA">
      <w:pPr>
        <w:rPr>
          <w:rFonts w:cs="Segoe UI"/>
        </w:rPr>
      </w:pPr>
      <w:r w:rsidRPr="0007414B">
        <w:rPr>
          <w:rFonts w:cs="Segoe UI"/>
        </w:rPr>
        <w:fldChar w:fldCharType="begin"/>
      </w:r>
      <w:r w:rsidRPr="0007414B">
        <w:rPr>
          <w:rFonts w:cs="Segoe UI"/>
        </w:rPr>
        <w:instrText xml:space="preserve"> REF _Ref133847201 \h  \* MERGEFORMAT </w:instrText>
      </w:r>
      <w:r w:rsidRPr="0007414B">
        <w:rPr>
          <w:rFonts w:cs="Segoe UI"/>
        </w:rPr>
      </w:r>
      <w:r w:rsidRPr="0007414B">
        <w:rPr>
          <w:rFonts w:cs="Segoe UI"/>
        </w:rPr>
        <w:fldChar w:fldCharType="separate"/>
      </w:r>
      <w:r w:rsidR="00BE208D" w:rsidRPr="00BE208D">
        <w:rPr>
          <w:rFonts w:cs="Segoe UI"/>
        </w:rPr>
        <w:t>Figure 7</w:t>
      </w:r>
      <w:r w:rsidRPr="0007414B">
        <w:rPr>
          <w:rFonts w:cs="Segoe UI"/>
        </w:rPr>
        <w:fldChar w:fldCharType="end"/>
      </w:r>
      <w:r w:rsidRPr="0007414B">
        <w:rPr>
          <w:rFonts w:cs="Segoe UI"/>
        </w:rPr>
        <w:t xml:space="preserve"> shows the percentage of people living in each deprivation quintile by ethnic group. Māori and Pacific populations were over-represented in the most deprived quintile</w:t>
      </w:r>
      <w:r>
        <w:rPr>
          <w:rFonts w:cs="Segoe UI"/>
        </w:rPr>
        <w:t xml:space="preserve"> (quintile 5)</w:t>
      </w:r>
      <w:r w:rsidRPr="0007414B">
        <w:rPr>
          <w:rFonts w:cs="Segoe UI"/>
        </w:rPr>
        <w:t>,</w:t>
      </w:r>
      <w:r w:rsidRPr="0007414B" w:rsidDel="00EF2A08">
        <w:rPr>
          <w:rFonts w:cs="Segoe UI"/>
        </w:rPr>
        <w:t xml:space="preserve"> </w:t>
      </w:r>
      <w:r w:rsidRPr="0007414B">
        <w:rPr>
          <w:rFonts w:cs="Segoe UI"/>
        </w:rPr>
        <w:t>where 43.0% of all Māori and 55.8% of all Pacific peoples lived.</w:t>
      </w:r>
      <w:r w:rsidRPr="0007414B" w:rsidDel="0087123F">
        <w:rPr>
          <w:rFonts w:cs="Segoe UI"/>
        </w:rPr>
        <w:t xml:space="preserve"> </w:t>
      </w:r>
      <w:r w:rsidRPr="0007414B">
        <w:rPr>
          <w:rFonts w:cs="Segoe UI"/>
        </w:rPr>
        <w:t xml:space="preserve">In contrast, </w:t>
      </w:r>
      <w:r>
        <w:rPr>
          <w:rFonts w:cs="Segoe UI"/>
        </w:rPr>
        <w:t>only</w:t>
      </w:r>
      <w:r w:rsidRPr="0007414B">
        <w:rPr>
          <w:rFonts w:cs="Segoe UI"/>
        </w:rPr>
        <w:t xml:space="preserve"> 12.5% of Europeans/others and 17.6% of the Asian population lived in quintile 5</w:t>
      </w:r>
      <w:r>
        <w:rPr>
          <w:rFonts w:cs="Segoe UI"/>
        </w:rPr>
        <w:t xml:space="preserve"> areas</w:t>
      </w:r>
      <w:r w:rsidRPr="0007414B">
        <w:rPr>
          <w:rFonts w:cs="Segoe UI"/>
        </w:rPr>
        <w:t>.​</w:t>
      </w:r>
    </w:p>
    <w:p w14:paraId="3E294179" w14:textId="77777777" w:rsidR="00A474DA" w:rsidRPr="0007414B" w:rsidRDefault="00A474DA" w:rsidP="00A474DA">
      <w:pPr>
        <w:rPr>
          <w:rFonts w:cs="Segoe UI"/>
          <w:szCs w:val="21"/>
        </w:rPr>
      </w:pPr>
    </w:p>
    <w:p w14:paraId="4FC19460" w14:textId="77777777" w:rsidR="00A474DA" w:rsidRPr="0007414B" w:rsidRDefault="00A474DA" w:rsidP="00A474DA">
      <w:pPr>
        <w:rPr>
          <w:rFonts w:cs="Segoe UI"/>
        </w:rPr>
      </w:pPr>
      <w:r w:rsidRPr="0007414B">
        <w:rPr>
          <w:rFonts w:cs="Segoe UI"/>
        </w:rPr>
        <w:t>Nearly 1 in 4 Europeans/others (24.2%) lived in the least deprived quintile, compared with 8.3% of Māori and 4.9% of Pacific peoples.</w:t>
      </w:r>
    </w:p>
    <w:p w14:paraId="50660369" w14:textId="77777777" w:rsidR="00A474DA" w:rsidRPr="0007414B" w:rsidRDefault="00A474DA" w:rsidP="00A474DA">
      <w:pPr>
        <w:rPr>
          <w:rFonts w:cs="Segoe UI"/>
          <w:szCs w:val="21"/>
        </w:rPr>
      </w:pPr>
    </w:p>
    <w:p w14:paraId="749DB97E" w14:textId="27A88ABA" w:rsidR="00A474DA" w:rsidRPr="0007414B" w:rsidRDefault="00A474DA" w:rsidP="00A474DA">
      <w:pPr>
        <w:pStyle w:val="Figure"/>
      </w:pPr>
      <w:bookmarkStart w:id="34" w:name="_Ref133847201"/>
      <w:bookmarkStart w:id="35" w:name="_Toc138326949"/>
      <w:bookmarkStart w:id="36" w:name="_Toc138409930"/>
      <w:r>
        <w:lastRenderedPageBreak/>
        <w:t xml:space="preserve">Figure </w:t>
      </w:r>
      <w:fldSimple w:instr=" SEQ Figure \* ARABIC ">
        <w:r w:rsidR="00BE208D">
          <w:rPr>
            <w:noProof/>
          </w:rPr>
          <w:t>7</w:t>
        </w:r>
      </w:fldSimple>
      <w:bookmarkEnd w:id="34"/>
      <w:r>
        <w:t>: Percentage of Aotearoa New Zealand population living in each deprivation quintile (NZDep2018), by ethnic group, 2022</w:t>
      </w:r>
      <w:bookmarkEnd w:id="35"/>
      <w:bookmarkEnd w:id="36"/>
    </w:p>
    <w:p w14:paraId="61E21B9F" w14:textId="77777777" w:rsidR="00A474DA" w:rsidRPr="0007414B" w:rsidRDefault="00A474DA" w:rsidP="00A474DA">
      <w:pPr>
        <w:rPr>
          <w:rFonts w:cs="Segoe UI"/>
        </w:rPr>
      </w:pPr>
      <w:r w:rsidRPr="0007414B">
        <w:rPr>
          <w:noProof/>
        </w:rPr>
        <w:drawing>
          <wp:inline distT="0" distB="0" distL="0" distR="0" wp14:anchorId="445AD4F2" wp14:editId="4E397EEB">
            <wp:extent cx="5111262" cy="2554664"/>
            <wp:effectExtent l="0" t="0" r="0" b="0"/>
            <wp:docPr id="1823296323" name="Picture 1823296323" descr="A series of four bar charts showing deprivation quintile by ethnic group. For the Māori ethnic group, 43.0% of the population live in the most deprived areas (quintile 5), 22.6% in quintile 4, 14.9% in quintile 3, 11.2% in quintile 2, and 8.3% in the least deprived quintile (quintile 1). For the Pacific peoples ethnic group, 55.8% of the population live in the most deprived areas (quintile 5), 20.0% in quintile 4, 11.8% in quintile 3, 7.5% in quintile 2, and 4.9% in the least deprived quintile (quintile 1). For the Asian ethnic group, 17.6% of the population live in the most deprived areas (quintile 5), 23.0% in quintile 4, 22.8% in quintile 3, 20.2% in quintile 2, and 16.5% in the least deprived quintile (quintile 1). For the European/other ethnic group, 12.5% of the population live in the most deprived areas (quintile 5), 19.2% in quintile 4, 21.3% in quintile 3, 22.8% in quintile 2, and 24.2% in the least deprived quintile (quinti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3" name="Picture 1823296323" descr="A series of four bar charts showing deprivation quintile by ethnic group. For the Māori ethnic group, 43.0% of the population live in the most deprived areas (quintile 5), 22.6% in quintile 4, 14.9% in quintile 3, 11.2% in quintile 2, and 8.3% in the least deprived quintile (quintile 1). For the Pacific peoples ethnic group, 55.8% of the population live in the most deprived areas (quintile 5), 20.0% in quintile 4, 11.8% in quintile 3, 7.5% in quintile 2, and 4.9% in the least deprived quintile (quintile 1). For the Asian ethnic group, 17.6% of the population live in the most deprived areas (quintile 5), 23.0% in quintile 4, 22.8% in quintile 3, 20.2% in quintile 2, and 16.5% in the least deprived quintile (quintile 1). For the European/other ethnic group, 12.5% of the population live in the most deprived areas (quintile 5), 19.2% in quintile 4, 21.3% in quintile 3, 22.8% in quintile 2, and 24.2% in the least deprived quintile (quintile 1). "/>
                    <pic:cNvPicPr/>
                  </pic:nvPicPr>
                  <pic:blipFill>
                    <a:blip r:embed="rId41"/>
                    <a:stretch>
                      <a:fillRect/>
                    </a:stretch>
                  </pic:blipFill>
                  <pic:spPr>
                    <a:xfrm>
                      <a:off x="0" y="0"/>
                      <a:ext cx="5127313" cy="2562687"/>
                    </a:xfrm>
                    <a:prstGeom prst="rect">
                      <a:avLst/>
                    </a:prstGeom>
                  </pic:spPr>
                </pic:pic>
              </a:graphicData>
            </a:graphic>
          </wp:inline>
        </w:drawing>
      </w:r>
    </w:p>
    <w:p w14:paraId="3A4A7E8D" w14:textId="77777777" w:rsidR="00A474DA" w:rsidRPr="0007414B" w:rsidRDefault="00A474DA" w:rsidP="00A474DA">
      <w:pPr>
        <w:pStyle w:val="Source"/>
      </w:pPr>
      <w:r w:rsidRPr="0007414B">
        <w:t>Source: Te Whatu Ora unpublished data (2023)</w:t>
      </w:r>
    </w:p>
    <w:p w14:paraId="7379FB21" w14:textId="0EC6ED9E" w:rsidR="00025EAD" w:rsidRDefault="00025EAD" w:rsidP="00025EAD">
      <w:pPr>
        <w:pStyle w:val="Heading2"/>
        <w:rPr>
          <w:rFonts w:eastAsia="Arial Unicode MS"/>
        </w:rPr>
      </w:pPr>
      <w:bookmarkStart w:id="37" w:name="_Toc139030810"/>
      <w:r w:rsidRPr="00025EAD">
        <w:rPr>
          <w:rFonts w:eastAsia="Arial Unicode MS"/>
        </w:rPr>
        <w:t>Disabled population</w:t>
      </w:r>
      <w:bookmarkEnd w:id="37"/>
    </w:p>
    <w:p w14:paraId="30B2D5AD" w14:textId="77777777" w:rsidR="00A474DA" w:rsidRPr="0007414B" w:rsidRDefault="00A474DA" w:rsidP="00A474DA">
      <w:pPr>
        <w:rPr>
          <w:rFonts w:cs="Segoe UI"/>
        </w:rPr>
      </w:pPr>
      <w:r w:rsidRPr="0007414B">
        <w:rPr>
          <w:rFonts w:cs="Segoe UI"/>
        </w:rPr>
        <w:t xml:space="preserve">The most recent data on the prevalence of disability comes from the Stats NZ 2013 New Zealand Disability Survey </w:t>
      </w:r>
      <w:r w:rsidRPr="0007414B">
        <w:rPr>
          <w:rFonts w:cs="Segoe UI"/>
        </w:rPr>
        <w:fldChar w:fldCharType="begin"/>
      </w:r>
      <w:r w:rsidRPr="0007414B">
        <w:rPr>
          <w:rFonts w:cs="Segoe UI"/>
        </w:rPr>
        <w:instrText xml:space="preserve"> ADDIN EN.CITE &lt;EndNote&gt;&lt;Cite&gt;&lt;Author&gt;Stats NZ&lt;/Author&gt;&lt;Year&gt;2014&lt;/Year&gt;&lt;RecNum&gt;6&lt;/RecNum&gt;&lt;DisplayText&gt;(Stats NZ 2014)&lt;/DisplayText&gt;&lt;record&gt;&lt;rec-number&gt;6&lt;/rec-number&gt;&lt;foreign-keys&gt;&lt;key app="EN" db-id="aaepvppzs5wtfse95vsp2wahsrtvva2vvdet" timestamp="1631856944"&gt;6&lt;/key&gt;&lt;/foreign-keys&gt;&lt;ref-type name="Web Page"&gt;12&lt;/ref-type&gt;&lt;contributors&gt;&lt;authors&gt;&lt;author&gt;Stats NZ,&lt;/author&gt;&lt;/authors&gt;&lt;/contributors&gt;&lt;titles&gt;&lt;title&gt;Disability Survey: 2013&lt;/title&gt;&lt;/titles&gt;&lt;number&gt;5 May 2023&lt;/number&gt;&lt;dates&gt;&lt;year&gt;2014&lt;/year&gt;&lt;/dates&gt;&lt;urls&gt;&lt;related-urls&gt;&lt;url&gt;www.stats.govt.nz/information-releases/disability-survey-2013&lt;/url&gt;&lt;/related-urls&gt;&lt;/urls&gt;&lt;/record&gt;&lt;/Cite&gt;&lt;/EndNote&gt;</w:instrText>
      </w:r>
      <w:r w:rsidRPr="0007414B">
        <w:rPr>
          <w:rFonts w:cs="Segoe UI"/>
        </w:rPr>
        <w:fldChar w:fldCharType="separate"/>
      </w:r>
      <w:r w:rsidRPr="0007414B">
        <w:rPr>
          <w:rFonts w:cs="Segoe UI"/>
        </w:rPr>
        <w:t>(Stats NZ 2014)</w:t>
      </w:r>
      <w:r w:rsidRPr="0007414B">
        <w:rPr>
          <w:rFonts w:cs="Segoe UI"/>
        </w:rPr>
        <w:fldChar w:fldCharType="end"/>
      </w:r>
      <w:r w:rsidRPr="0007414B">
        <w:rPr>
          <w:rFonts w:cs="Segoe UI"/>
        </w:rPr>
        <w:t>. The survey findings included the following.</w:t>
      </w:r>
    </w:p>
    <w:p w14:paraId="57BC0C56" w14:textId="77777777" w:rsidR="00A474DA" w:rsidRPr="0007414B" w:rsidRDefault="00A474DA" w:rsidP="00A474DA">
      <w:pPr>
        <w:pStyle w:val="Bullet"/>
      </w:pPr>
      <w:r w:rsidRPr="0007414B">
        <w:t>A total of 1.1 million people (24% of the population) were disabled. The ageing population helps to explain the increase from the 2001 rate (20%).</w:t>
      </w:r>
      <w:r w:rsidRPr="0007414B">
        <w:rPr>
          <w:rStyle w:val="FootnoteReference"/>
          <w:rFonts w:cs="Segoe UI"/>
        </w:rPr>
        <w:footnoteReference w:id="6"/>
      </w:r>
    </w:p>
    <w:p w14:paraId="64322BD0" w14:textId="77777777" w:rsidR="00A474DA" w:rsidRPr="0007414B" w:rsidRDefault="00A474DA" w:rsidP="00A474DA">
      <w:pPr>
        <w:pStyle w:val="Bullet"/>
      </w:pPr>
      <w:r w:rsidRPr="0007414B">
        <w:t>Māori and Pacific peoples had higher than average disability rates, after adjusting for differences in age profiles between ethnic groups.</w:t>
      </w:r>
    </w:p>
    <w:p w14:paraId="73C7ABF7" w14:textId="77777777" w:rsidR="00A474DA" w:rsidRPr="0007414B" w:rsidRDefault="00A474DA" w:rsidP="00A474DA">
      <w:pPr>
        <w:pStyle w:val="Bullet"/>
      </w:pPr>
      <w:r w:rsidRPr="0007414B">
        <w:t>People aged 65 years and older were much more likely to be disabled (59%) than adults under 65 years old (21%)</w:t>
      </w:r>
      <w:r w:rsidRPr="0007414B" w:rsidDel="004E255F">
        <w:t xml:space="preserve"> </w:t>
      </w:r>
      <w:r w:rsidRPr="0007414B">
        <w:t>and children under 15 years old (11%).</w:t>
      </w:r>
    </w:p>
    <w:p w14:paraId="4E1D2807" w14:textId="77777777" w:rsidR="00A474DA" w:rsidRPr="0007414B" w:rsidRDefault="00A474DA" w:rsidP="00A474DA"/>
    <w:p w14:paraId="4A20DC2E" w14:textId="0D21EF00" w:rsidR="00025EAD" w:rsidRDefault="00A474DA" w:rsidP="00025EAD">
      <w:pPr>
        <w:rPr>
          <w:rFonts w:eastAsia="Arial Unicode MS"/>
        </w:rPr>
      </w:pPr>
      <w:r w:rsidRPr="0007414B">
        <w:rPr>
          <w:rFonts w:cs="Segoe UI"/>
        </w:rPr>
        <w:t xml:space="preserve">Information from Stats NZ shows disabled people fare worse than non-disabled people across a range of outcomes relating to housing and neighbourhoods, and their economic and social lives </w:t>
      </w:r>
      <w:r w:rsidRPr="0007414B">
        <w:rPr>
          <w:rFonts w:cs="Segoe UI"/>
        </w:rPr>
        <w:fldChar w:fldCharType="begin"/>
      </w:r>
      <w:r>
        <w:rPr>
          <w:rFonts w:cs="Segoe UI"/>
        </w:rPr>
        <w:instrText xml:space="preserve"> ADDIN EN.CITE &lt;EndNote&gt;&lt;Cite&gt;&lt;Author&gt;Stats NZ&lt;/Author&gt;&lt;Year&gt;2020&lt;/Year&gt;&lt;RecNum&gt;287&lt;/RecNum&gt;&lt;DisplayText&gt;(Stats NZ 2020b)&lt;/DisplayText&gt;&lt;record&gt;&lt;rec-number&gt;287&lt;/rec-number&gt;&lt;foreign-keys&gt;&lt;key app="EN" db-id="aaepvppzs5wtfse95vsp2wahsrtvva2vvdet" timestamp="1683250203"&gt;287&lt;/key&gt;&lt;/foreign-keys&gt;&lt;ref-type name="Web Page"&gt;12&lt;/ref-type&gt;&lt;contributors&gt;&lt;authors&gt;&lt;author&gt;Stats NZ,&lt;/author&gt;&lt;/authors&gt;&lt;/contributors&gt;&lt;titles&gt;&lt;title&gt;Disabled people fare worse in their home, economic, and social lives&lt;/title&gt;&lt;/titles&gt;&lt;number&gt;5 May 2023&lt;/number&gt;&lt;dates&gt;&lt;year&gt;2020&lt;/year&gt;&lt;/dates&gt;&lt;urls&gt;&lt;related-urls&gt;&lt;url&gt;www.stats.govt.nz/news/disabled-people-fare-worse-in-their-home-economic-and-social-lives/&lt;/url&gt;&lt;/related-urls&gt;&lt;/urls&gt;&lt;/record&gt;&lt;/Cite&gt;&lt;/EndNote&gt;</w:instrText>
      </w:r>
      <w:r w:rsidRPr="0007414B">
        <w:rPr>
          <w:rFonts w:cs="Segoe UI"/>
        </w:rPr>
        <w:fldChar w:fldCharType="separate"/>
      </w:r>
      <w:r w:rsidRPr="0007414B">
        <w:rPr>
          <w:rFonts w:cs="Segoe UI"/>
          <w:noProof/>
        </w:rPr>
        <w:t>(Stats NZ 2020b)</w:t>
      </w:r>
      <w:r w:rsidRPr="0007414B">
        <w:rPr>
          <w:rFonts w:cs="Segoe UI"/>
        </w:rPr>
        <w:fldChar w:fldCharType="end"/>
      </w:r>
      <w:r w:rsidRPr="0007414B">
        <w:rPr>
          <w:rFonts w:cs="Segoe UI"/>
        </w:rPr>
        <w:t>.</w:t>
      </w:r>
    </w:p>
    <w:p w14:paraId="7B16853E" w14:textId="1DA002A7" w:rsidR="00025EAD" w:rsidRDefault="00025EAD" w:rsidP="00025EAD">
      <w:pPr>
        <w:pStyle w:val="Heading3"/>
        <w:rPr>
          <w:rFonts w:eastAsia="Arial Unicode MS"/>
        </w:rPr>
      </w:pPr>
      <w:r w:rsidRPr="00025EAD">
        <w:rPr>
          <w:rFonts w:eastAsia="Arial Unicode MS"/>
        </w:rPr>
        <w:t>National disability survey planned for 2023</w:t>
      </w:r>
    </w:p>
    <w:p w14:paraId="37D41EB3" w14:textId="77777777" w:rsidR="00A474DA" w:rsidRPr="0007414B" w:rsidRDefault="00A474DA" w:rsidP="00A474DA">
      <w:pPr>
        <w:rPr>
          <w:rFonts w:cs="Segoe UI"/>
        </w:rPr>
      </w:pPr>
      <w:r w:rsidRPr="0007414B">
        <w:rPr>
          <w:rFonts w:cs="Segoe UI"/>
        </w:rPr>
        <w:t xml:space="preserve">Stats NZ is planning to undertake a national disability survey in 2023. It will be the first national disability survey since 2013 </w:t>
      </w:r>
      <w:r w:rsidRPr="0007414B">
        <w:rPr>
          <w:rFonts w:cs="Segoe UI"/>
        </w:rPr>
        <w:fldChar w:fldCharType="begin"/>
      </w:r>
      <w:r>
        <w:rPr>
          <w:rFonts w:cs="Segoe UI"/>
        </w:rPr>
        <w:instrText xml:space="preserve"> ADDIN EN.CITE &lt;EndNote&gt;&lt;Cite&gt;&lt;Author&gt;Stats NZ&lt;/Author&gt;&lt;Year&gt;2023&lt;/Year&gt;&lt;RecNum&gt;345&lt;/RecNum&gt;&lt;DisplayText&gt;(Stats NZ 2023e)&lt;/DisplayText&gt;&lt;record&gt;&lt;rec-number&gt;345&lt;/rec-number&gt;&lt;foreign-keys&gt;&lt;key app="EN" db-id="aaepvppzs5wtfse95vsp2wahsrtvva2vvdet" timestamp="1683761989"&gt;345&lt;/key&gt;&lt;/foreign-keys&gt;&lt;ref-type name="Web Page"&gt;12&lt;/ref-type&gt;&lt;contributors&gt;&lt;authors&gt;&lt;author&gt;Stats NZ,&lt;/author&gt;&lt;/authors&gt;&lt;/contributors&gt;&lt;titles&gt;&lt;title&gt;Household Disability Survey 2023: Final content&lt;/title&gt;&lt;/titles&gt;&lt;number&gt;11 May 2023&lt;/number&gt;&lt;dates&gt;&lt;year&gt;2023&lt;/year&gt;&lt;/dates&gt;&lt;urls&gt;&lt;related-urls&gt;&lt;url&gt;www.stats.govt.nz/reports/household-disability-survey-2023-final-content/&lt;/url&gt;&lt;/related-urls&gt;&lt;/urls&gt;&lt;/record&gt;&lt;/Cite&gt;&lt;/EndNote&gt;</w:instrText>
      </w:r>
      <w:r w:rsidRPr="0007414B">
        <w:rPr>
          <w:rFonts w:cs="Segoe UI"/>
        </w:rPr>
        <w:fldChar w:fldCharType="separate"/>
      </w:r>
      <w:r w:rsidRPr="0007414B">
        <w:rPr>
          <w:rFonts w:cs="Segoe UI"/>
          <w:noProof/>
        </w:rPr>
        <w:t>(Stats NZ 2023e)</w:t>
      </w:r>
      <w:r w:rsidRPr="0007414B">
        <w:rPr>
          <w:rFonts w:cs="Segoe UI"/>
        </w:rPr>
        <w:fldChar w:fldCharType="end"/>
      </w:r>
      <w:r w:rsidRPr="0007414B">
        <w:rPr>
          <w:rFonts w:cs="Segoe UI"/>
        </w:rPr>
        <w:t>. This survey is the primary source of information for estimating disability prevalence in Aotearoa New Zealand. It also provides detail about how well disabled people are getting on compared with non-disabled people.</w:t>
      </w:r>
    </w:p>
    <w:p w14:paraId="5FAA90B1" w14:textId="77777777" w:rsidR="00A474DA" w:rsidRPr="0007414B" w:rsidRDefault="00A474DA" w:rsidP="00A474DA">
      <w:pPr>
        <w:rPr>
          <w:rFonts w:cs="Segoe UI"/>
          <w:szCs w:val="21"/>
        </w:rPr>
      </w:pPr>
    </w:p>
    <w:p w14:paraId="2D7DC412" w14:textId="77777777" w:rsidR="00A474DA" w:rsidRPr="0007414B" w:rsidRDefault="00A474DA" w:rsidP="00A474DA">
      <w:pPr>
        <w:spacing w:line="257" w:lineRule="auto"/>
        <w:jc w:val="both"/>
        <w:rPr>
          <w:rFonts w:cs="Segoe UI"/>
        </w:rPr>
      </w:pPr>
      <w:r w:rsidRPr="0007414B">
        <w:rPr>
          <w:rFonts w:cs="Segoe UI"/>
        </w:rPr>
        <w:lastRenderedPageBreak/>
        <w:t xml:space="preserve">The objectives of the Disability Survey </w:t>
      </w:r>
      <w:r w:rsidRPr="0007414B">
        <w:rPr>
          <w:rFonts w:cs="Segoe UI"/>
        </w:rPr>
        <w:fldChar w:fldCharType="begin"/>
      </w:r>
      <w:r>
        <w:rPr>
          <w:rFonts w:cs="Segoe UI"/>
        </w:rPr>
        <w:instrText xml:space="preserve"> ADDIN EN.CITE &lt;EndNote&gt;&lt;Cite&gt;&lt;Author&gt;Stats NZ&lt;/Author&gt;&lt;Year&gt;2023&lt;/Year&gt;&lt;RecNum&gt;345&lt;/RecNum&gt;&lt;DisplayText&gt;(Stats NZ 2023e)&lt;/DisplayText&gt;&lt;record&gt;&lt;rec-number&gt;345&lt;/rec-number&gt;&lt;foreign-keys&gt;&lt;key app="EN" db-id="aaepvppzs5wtfse95vsp2wahsrtvva2vvdet" timestamp="1683761989"&gt;345&lt;/key&gt;&lt;/foreign-keys&gt;&lt;ref-type name="Web Page"&gt;12&lt;/ref-type&gt;&lt;contributors&gt;&lt;authors&gt;&lt;author&gt;Stats NZ,&lt;/author&gt;&lt;/authors&gt;&lt;/contributors&gt;&lt;titles&gt;&lt;title&gt;Household Disability Survey 2023: Final content&lt;/title&gt;&lt;/titles&gt;&lt;number&gt;11 May 2023&lt;/number&gt;&lt;dates&gt;&lt;year&gt;2023&lt;/year&gt;&lt;/dates&gt;&lt;urls&gt;&lt;related-urls&gt;&lt;url&gt;www.stats.govt.nz/reports/household-disability-survey-2023-final-content/&lt;/url&gt;&lt;/related-urls&gt;&lt;/urls&gt;&lt;/record&gt;&lt;/Cite&gt;&lt;/EndNote&gt;</w:instrText>
      </w:r>
      <w:r w:rsidRPr="0007414B">
        <w:rPr>
          <w:rFonts w:cs="Segoe UI"/>
        </w:rPr>
        <w:fldChar w:fldCharType="separate"/>
      </w:r>
      <w:r w:rsidRPr="0007414B">
        <w:rPr>
          <w:rFonts w:cs="Segoe UI"/>
          <w:noProof/>
        </w:rPr>
        <w:t>(Stats NZ 2023e)</w:t>
      </w:r>
      <w:r w:rsidRPr="0007414B">
        <w:rPr>
          <w:rFonts w:cs="Segoe UI"/>
        </w:rPr>
        <w:fldChar w:fldCharType="end"/>
      </w:r>
      <w:r w:rsidRPr="0007414B">
        <w:rPr>
          <w:rFonts w:cs="Segoe UI"/>
        </w:rPr>
        <w:t>, in priority order, are to</w:t>
      </w:r>
      <w:r w:rsidRPr="0007414B">
        <w:t xml:space="preserve"> understand</w:t>
      </w:r>
      <w:r w:rsidRPr="0007414B">
        <w:rPr>
          <w:rFonts w:cs="Segoe UI"/>
        </w:rPr>
        <w:t xml:space="preserve">: </w:t>
      </w:r>
    </w:p>
    <w:p w14:paraId="4CD7C459" w14:textId="77777777" w:rsidR="00A474DA" w:rsidRPr="0007414B" w:rsidRDefault="00A474DA" w:rsidP="00A474DA">
      <w:pPr>
        <w:pStyle w:val="Bullet"/>
      </w:pPr>
      <w:r w:rsidRPr="0007414B">
        <w:t>the size of the disabled population usually resident in Aotearoa New Zealand and describe characteristics of that population</w:t>
      </w:r>
    </w:p>
    <w:p w14:paraId="0C94740F" w14:textId="77777777" w:rsidR="00A474DA" w:rsidRPr="0007414B" w:rsidRDefault="00A474DA" w:rsidP="00A474DA">
      <w:pPr>
        <w:pStyle w:val="Bullet"/>
      </w:pPr>
      <w:r w:rsidRPr="0007414B">
        <w:t>the extent to which social, wellbeing and economic outcomes for disabled people differ from non-disabled people, and how those outcomes differ between groups within the disabled population</w:t>
      </w:r>
    </w:p>
    <w:p w14:paraId="3635223D" w14:textId="77777777" w:rsidR="00A474DA" w:rsidRPr="0007414B" w:rsidRDefault="00A474DA" w:rsidP="00A474DA">
      <w:pPr>
        <w:pStyle w:val="Bullet"/>
      </w:pPr>
      <w:r w:rsidRPr="0007414B">
        <w:t>the level and type of support disabled people need to perform activities of daily living, and identify unmet need for support</w:t>
      </w:r>
    </w:p>
    <w:p w14:paraId="2F6F603E" w14:textId="77777777" w:rsidR="00A474DA" w:rsidRPr="0007414B" w:rsidRDefault="00A474DA" w:rsidP="00A474DA">
      <w:pPr>
        <w:pStyle w:val="Bullet"/>
      </w:pPr>
      <w:r w:rsidRPr="0007414B">
        <w:t>what creates barriers for disabled people against participating, and what enables them to participate in important aspects of life, such as work, education, civic society and recreation.</w:t>
      </w:r>
    </w:p>
    <w:p w14:paraId="31788DA1" w14:textId="32E469E8" w:rsidR="00025EAD" w:rsidRDefault="001A4831" w:rsidP="001A4831">
      <w:pPr>
        <w:pStyle w:val="Heading3"/>
        <w:rPr>
          <w:rFonts w:eastAsia="Arial Unicode MS"/>
        </w:rPr>
      </w:pPr>
      <w:r w:rsidRPr="001A4831">
        <w:rPr>
          <w:rFonts w:eastAsia="Arial Unicode MS"/>
        </w:rPr>
        <w:t>Transforming the disability support system</w:t>
      </w:r>
    </w:p>
    <w:p w14:paraId="76A9E321" w14:textId="77777777" w:rsidR="00A474DA" w:rsidRPr="0007414B" w:rsidRDefault="00A474DA" w:rsidP="00A474DA">
      <w:pPr>
        <w:rPr>
          <w:rFonts w:cs="Segoe UI"/>
        </w:rPr>
      </w:pPr>
      <w:r w:rsidRPr="0007414B">
        <w:rPr>
          <w:rFonts w:cs="Segoe UI"/>
        </w:rPr>
        <w:t xml:space="preserve">Whaikaha — Ministry of Disabled People (Whaikaha) was established on 1 July 2022 to support a whole-of-life approach to disability, provide a wider lens on disability across government and drive transformation of the disability support system </w:t>
      </w:r>
      <w:r w:rsidRPr="0007414B">
        <w:rPr>
          <w:rFonts w:cs="Segoe UI"/>
        </w:rPr>
        <w:fldChar w:fldCharType="begin"/>
      </w:r>
      <w:r>
        <w:rPr>
          <w:rFonts w:cs="Segoe UI"/>
        </w:rPr>
        <w:instrText xml:space="preserve"> ADDIN EN.CITE &lt;EndNote&gt;&lt;Cite&gt;&lt;Author&gt;Manatū Hauora&lt;/Author&gt;&lt;Year&gt;2022&lt;/Year&gt;&lt;RecNum&gt;336&lt;/RecNum&gt;&lt;DisplayText&gt;(Manatū Hauora 2022j)&lt;/DisplayText&gt;&lt;record&gt;&lt;rec-number&gt;336&lt;/rec-number&gt;&lt;foreign-keys&gt;&lt;key app="EN" db-id="aaepvppzs5wtfse95vsp2wahsrtvva2vvdet" timestamp="1683603758"&gt;336&lt;/key&gt;&lt;/foreign-keys&gt;&lt;ref-type name="Web Page"&gt;12&lt;/ref-type&gt;&lt;contributors&gt;&lt;authors&gt;&lt;author&gt;&lt;style face="normal" font="default" size="100%"&gt;Manat&lt;/style&gt;&lt;style face="normal" font="default" charset="238" size="100%"&gt;ū Hauora,&lt;/style&gt;&lt;/author&gt;&lt;/authors&gt;&lt;/contributors&gt;&lt;titles&gt;&lt;title&gt;New health and disability system&lt;/title&gt;&lt;/titles&gt;&lt;number&gt;9 May 2023&lt;/number&gt;&lt;dates&gt;&lt;year&gt;2022&lt;/year&gt;&lt;/dates&gt;&lt;urls&gt;&lt;related-urls&gt;&lt;url&gt;www.health.govt.nz/new-zealand-health-system/new-health-and-disability-system&lt;/url&gt;&lt;/related-urls&gt;&lt;/urls&gt;&lt;/record&gt;&lt;/Cite&gt;&lt;/EndNote&gt;</w:instrText>
      </w:r>
      <w:r w:rsidRPr="0007414B">
        <w:rPr>
          <w:rFonts w:cs="Segoe UI"/>
        </w:rPr>
        <w:fldChar w:fldCharType="separate"/>
      </w:r>
      <w:r w:rsidRPr="0007414B">
        <w:rPr>
          <w:rFonts w:cs="Segoe UI"/>
          <w:noProof/>
        </w:rPr>
        <w:t>(Manatū Hauora 2022j)</w:t>
      </w:r>
      <w:r w:rsidRPr="0007414B">
        <w:rPr>
          <w:rFonts w:cs="Segoe UI"/>
        </w:rPr>
        <w:fldChar w:fldCharType="end"/>
      </w:r>
      <w:r w:rsidRPr="0007414B">
        <w:rPr>
          <w:rFonts w:cs="Segoe UI"/>
        </w:rPr>
        <w:t>.</w:t>
      </w:r>
    </w:p>
    <w:p w14:paraId="6E7B65BE" w14:textId="77777777" w:rsidR="00A474DA" w:rsidRPr="0007414B" w:rsidRDefault="00A474DA" w:rsidP="00A474DA">
      <w:pPr>
        <w:rPr>
          <w:rFonts w:cs="Segoe UI"/>
          <w:szCs w:val="21"/>
        </w:rPr>
      </w:pPr>
    </w:p>
    <w:p w14:paraId="0EFB1480" w14:textId="77777777" w:rsidR="00A474DA" w:rsidRPr="0007414B" w:rsidRDefault="00A474DA" w:rsidP="00A474DA">
      <w:pPr>
        <w:spacing w:line="257" w:lineRule="auto"/>
        <w:rPr>
          <w:rFonts w:cs="Segoe UI"/>
        </w:rPr>
      </w:pPr>
      <w:r w:rsidRPr="0007414B">
        <w:rPr>
          <w:rFonts w:cs="Segoe UI"/>
        </w:rPr>
        <w:t>Transforming the disability system in line with Enabling Good Lives principles</w:t>
      </w:r>
      <w:r w:rsidRPr="0007414B">
        <w:rPr>
          <w:rStyle w:val="FootnoteReference"/>
          <w:rFonts w:cs="Segoe UI"/>
        </w:rPr>
        <w:footnoteReference w:id="7"/>
      </w:r>
      <w:r w:rsidRPr="0007414B">
        <w:rPr>
          <w:rFonts w:cs="Segoe UI"/>
        </w:rPr>
        <w:t xml:space="preserve"> is a key programme of work for Whaikaha </w:t>
      </w:r>
      <w:r w:rsidRPr="0007414B">
        <w:rPr>
          <w:rFonts w:cs="Segoe UI"/>
        </w:rPr>
        <w:fldChar w:fldCharType="begin"/>
      </w:r>
      <w:r>
        <w:rPr>
          <w:rFonts w:cs="Segoe UI"/>
        </w:rPr>
        <w:instrText xml:space="preserve"> ADDIN EN.CITE &lt;EndNote&gt;&lt;Cite&gt;&lt;Author&gt;Whaikaha&lt;/Author&gt;&lt;Year&gt;2022&lt;/Year&gt;&lt;RecNum&gt;346&lt;/RecNum&gt;&lt;DisplayText&gt;(Whaikaha 2022)&lt;/DisplayText&gt;&lt;record&gt;&lt;rec-number&gt;346&lt;/rec-number&gt;&lt;foreign-keys&gt;&lt;key app="EN" db-id="aaepvppzs5wtfse95vsp2wahsrtvva2vvdet" timestamp="1683762269"&gt;346&lt;/key&gt;&lt;/foreign-keys&gt;&lt;ref-type name="Web Page"&gt;12&lt;/ref-type&gt;&lt;contributors&gt;&lt;authors&gt;&lt;author&gt;Whaikaha,&lt;/author&gt;&lt;/authors&gt;&lt;/contributors&gt;&lt;titles&gt;&lt;title&gt;System Transformation and Enabling Good Lives&lt;/title&gt;&lt;/titles&gt;&lt;number&gt;11 May 2023&lt;/number&gt;&lt;dates&gt;&lt;year&gt;2022&lt;/year&gt;&lt;/dates&gt;&lt;urls&gt;&lt;related-urls&gt;&lt;url&gt;www.whaikaha.govt.nz/about-us/enabling-good-lives/&lt;/url&gt;&lt;/related-urls&gt;&lt;/urls&gt;&lt;/record&gt;&lt;/Cite&gt;&lt;/EndNote&gt;</w:instrText>
      </w:r>
      <w:r w:rsidRPr="0007414B">
        <w:rPr>
          <w:rFonts w:cs="Segoe UI"/>
        </w:rPr>
        <w:fldChar w:fldCharType="separate"/>
      </w:r>
      <w:r w:rsidRPr="0007414B">
        <w:rPr>
          <w:rFonts w:cs="Segoe UI"/>
          <w:noProof/>
        </w:rPr>
        <w:t>(Whaikaha 2022)</w:t>
      </w:r>
      <w:r w:rsidRPr="0007414B">
        <w:rPr>
          <w:rFonts w:cs="Segoe UI"/>
        </w:rPr>
        <w:fldChar w:fldCharType="end"/>
      </w:r>
      <w:r w:rsidRPr="0007414B">
        <w:rPr>
          <w:rFonts w:cs="Segoe UI"/>
        </w:rPr>
        <w:t>. Five elements underpin this work:</w:t>
      </w:r>
    </w:p>
    <w:p w14:paraId="514E2A52" w14:textId="77777777" w:rsidR="00A474DA" w:rsidRPr="00A474DA" w:rsidRDefault="00A474DA" w:rsidP="00395CB9">
      <w:pPr>
        <w:pStyle w:val="ListNumber"/>
        <w:numPr>
          <w:ilvl w:val="0"/>
          <w:numId w:val="12"/>
        </w:numPr>
        <w:spacing w:before="90"/>
        <w:ind w:left="357" w:hanging="357"/>
        <w:contextualSpacing w:val="0"/>
      </w:pPr>
      <w:r w:rsidRPr="00A474DA">
        <w:t>self-directed planning and facilitation</w:t>
      </w:r>
    </w:p>
    <w:p w14:paraId="3EBA71FE" w14:textId="77777777" w:rsidR="00A474DA" w:rsidRPr="00A474DA" w:rsidRDefault="00A474DA" w:rsidP="00395CB9">
      <w:pPr>
        <w:pStyle w:val="ListNumber"/>
        <w:numPr>
          <w:ilvl w:val="0"/>
          <w:numId w:val="12"/>
        </w:numPr>
        <w:spacing w:before="90"/>
        <w:ind w:left="357" w:hanging="357"/>
        <w:contextualSpacing w:val="0"/>
      </w:pPr>
      <w:r w:rsidRPr="00A474DA">
        <w:t>cross-government individualised and portable funding</w:t>
      </w:r>
    </w:p>
    <w:p w14:paraId="11B3EDD3" w14:textId="77777777" w:rsidR="00A474DA" w:rsidRPr="00A474DA" w:rsidRDefault="00A474DA" w:rsidP="00395CB9">
      <w:pPr>
        <w:pStyle w:val="ListNumber"/>
        <w:numPr>
          <w:ilvl w:val="0"/>
          <w:numId w:val="12"/>
        </w:numPr>
        <w:spacing w:before="90"/>
        <w:ind w:left="357" w:hanging="357"/>
        <w:contextualSpacing w:val="0"/>
      </w:pPr>
      <w:r w:rsidRPr="00A474DA">
        <w:t>considering the person in their wider context, not in the context of ‘funded support services’</w:t>
      </w:r>
    </w:p>
    <w:p w14:paraId="3EB7753E" w14:textId="77777777" w:rsidR="00A474DA" w:rsidRPr="00A474DA" w:rsidRDefault="00A474DA" w:rsidP="00395CB9">
      <w:pPr>
        <w:pStyle w:val="ListNumber"/>
        <w:numPr>
          <w:ilvl w:val="0"/>
          <w:numId w:val="12"/>
        </w:numPr>
        <w:spacing w:before="90"/>
        <w:ind w:left="357" w:hanging="357"/>
        <w:contextualSpacing w:val="0"/>
      </w:pPr>
      <w:r w:rsidRPr="00A474DA">
        <w:t>strengthening families or whānau</w:t>
      </w:r>
    </w:p>
    <w:p w14:paraId="1F19B134" w14:textId="77777777" w:rsidR="00A474DA" w:rsidRPr="00A474DA" w:rsidRDefault="00A474DA" w:rsidP="00395CB9">
      <w:pPr>
        <w:pStyle w:val="ListNumber"/>
        <w:numPr>
          <w:ilvl w:val="0"/>
          <w:numId w:val="12"/>
        </w:numPr>
        <w:spacing w:before="90"/>
        <w:ind w:left="357" w:hanging="357"/>
        <w:contextualSpacing w:val="0"/>
      </w:pPr>
      <w:r w:rsidRPr="00A474DA">
        <w:t>community building to develop natural supports.</w:t>
      </w:r>
    </w:p>
    <w:p w14:paraId="37AFDE06" w14:textId="77777777" w:rsidR="00A474DA" w:rsidRPr="0007414B" w:rsidRDefault="00A474DA" w:rsidP="00A474DA">
      <w:pPr>
        <w:spacing w:after="160" w:line="259" w:lineRule="auto"/>
        <w:rPr>
          <w:rFonts w:cs="Segoe UI"/>
          <w:sz w:val="20"/>
        </w:rPr>
      </w:pPr>
      <w:r>
        <w:rPr>
          <w:rFonts w:cs="Segoe UI"/>
          <w:sz w:val="20"/>
        </w:rPr>
        <w:br w:type="page"/>
      </w:r>
    </w:p>
    <w:p w14:paraId="0C880256" w14:textId="3E2FB64D" w:rsidR="00025EAD" w:rsidRDefault="001A4831" w:rsidP="001A4831">
      <w:pPr>
        <w:pStyle w:val="Heading1"/>
        <w:spacing w:before="0"/>
        <w:rPr>
          <w:rFonts w:eastAsia="Arial Unicode MS"/>
        </w:rPr>
      </w:pPr>
      <w:bookmarkStart w:id="38" w:name="_Toc139030811"/>
      <w:r w:rsidRPr="001A4831">
        <w:rPr>
          <w:rFonts w:eastAsia="Arial Unicode MS"/>
        </w:rPr>
        <w:lastRenderedPageBreak/>
        <w:t>Health measures | Ngā inenga hauora</w:t>
      </w:r>
      <w:bookmarkEnd w:id="38"/>
    </w:p>
    <w:p w14:paraId="47718A81" w14:textId="54541C5A" w:rsidR="001A4831" w:rsidRDefault="001A4831" w:rsidP="001A4831">
      <w:pPr>
        <w:pStyle w:val="Heading2"/>
        <w:rPr>
          <w:rFonts w:eastAsia="Arial Unicode MS"/>
        </w:rPr>
      </w:pPr>
      <w:bookmarkStart w:id="39" w:name="_Toc139030812"/>
      <w:r w:rsidRPr="001A4831">
        <w:rPr>
          <w:rFonts w:eastAsia="Arial Unicode MS"/>
        </w:rPr>
        <w:t>Population health measures</w:t>
      </w:r>
      <w:bookmarkEnd w:id="39"/>
    </w:p>
    <w:p w14:paraId="43FB9ACA" w14:textId="77777777" w:rsidR="00A474DA" w:rsidRPr="0007414B" w:rsidRDefault="00A474DA" w:rsidP="00A474DA">
      <w:pPr>
        <w:rPr>
          <w:rFonts w:cs="Segoe UI"/>
        </w:rPr>
      </w:pPr>
      <w:r w:rsidRPr="0007414B">
        <w:rPr>
          <w:rFonts w:cs="Segoe UI"/>
        </w:rPr>
        <w:t>Here we look at the health of New Zealanders in terms of their self-rated health, as well as life expectancy, mortality and health expectancy.</w:t>
      </w:r>
    </w:p>
    <w:p w14:paraId="266E08D5" w14:textId="77777777" w:rsidR="00A474DA" w:rsidRPr="0007414B" w:rsidRDefault="00A474DA" w:rsidP="00A474DA">
      <w:pPr>
        <w:rPr>
          <w:rFonts w:cs="Segoe UI"/>
        </w:rPr>
      </w:pPr>
    </w:p>
    <w:p w14:paraId="665597DD" w14:textId="77777777" w:rsidR="00A474DA" w:rsidRPr="0007414B" w:rsidRDefault="00A474DA" w:rsidP="00A474DA">
      <w:pPr>
        <w:rPr>
          <w:rFonts w:eastAsia="Calibri Light" w:cs="Segoe UI"/>
        </w:rPr>
      </w:pPr>
      <w:r w:rsidRPr="0007414B">
        <w:rPr>
          <w:rFonts w:cs="Segoe UI"/>
        </w:rPr>
        <w:t xml:space="preserve">One of the key data sources we use in this section is the New Zealand Health Survey (Health Survey). This survey collects data to monitor population health and provides evidence to support health policy and strategy development </w:t>
      </w:r>
      <w:r w:rsidRPr="0007414B">
        <w:rPr>
          <w:rFonts w:cs="Segoe UI"/>
        </w:rPr>
        <w:fldChar w:fldCharType="begin"/>
      </w:r>
      <w:r w:rsidRPr="0007414B">
        <w:rPr>
          <w:rFonts w:cs="Segoe UI"/>
        </w:rPr>
        <w:instrText xml:space="preserve"> ADDIN EN.CITE &lt;EndNote&gt;&lt;Cite&gt;&lt;Author&gt;Manatū Hauora&lt;/Author&gt;&lt;Year&gt;2023&lt;/Year&gt;&lt;RecNum&gt;137&lt;/RecNum&gt;&lt;DisplayText&gt;(Manatū Hauora 2023j)&lt;/DisplayText&gt;&lt;record&gt;&lt;rec-number&gt;137&lt;/rec-number&gt;&lt;foreign-keys&gt;&lt;key app="EN" db-id="aaepvppzs5wtfse95vsp2wahsrtvva2vvdet" timestamp="1634788648"&gt;137&lt;/key&gt;&lt;/foreign-keys&gt;&lt;ref-type name="Web Page"&gt;12&lt;/ref-type&gt;&lt;contributors&gt;&lt;authors&gt;&lt;author&gt;&lt;style face="normal" font="default" size="100%"&gt;Manat&lt;/style&gt;&lt;style face="normal" font="default" charset="238" size="100%"&gt;ū&lt;/style&gt;&lt;style face="normal" font="default" size="100%"&gt; Hauora,&lt;/style&gt;&lt;/author&gt;&lt;/authors&gt;&lt;/contributors&gt;&lt;titles&gt;&lt;title&gt;New Zealand Health Survey&lt;/title&gt;&lt;/titles&gt;&lt;number&gt;28 May 2023&lt;/number&gt;&lt;dates&gt;&lt;year&gt;2023&lt;/year&gt;&lt;/dates&gt;&lt;urls&gt;&lt;related-urls&gt;&lt;url&gt;www.health.govt.nz/nz-health-statistics/national-collections-and-surveys/surveys/new-zealand-health-survey&lt;/url&gt;&lt;/related-urls&gt;&lt;/urls&gt;&lt;/record&gt;&lt;/Cite&gt;&lt;/EndNote&gt;</w:instrText>
      </w:r>
      <w:r w:rsidRPr="0007414B">
        <w:rPr>
          <w:rFonts w:cs="Segoe UI"/>
        </w:rPr>
        <w:fldChar w:fldCharType="separate"/>
      </w:r>
      <w:r w:rsidRPr="0007414B">
        <w:rPr>
          <w:rFonts w:cs="Segoe UI"/>
        </w:rPr>
        <w:t>(Manatū Hauora 2023j)</w:t>
      </w:r>
      <w:r w:rsidRPr="0007414B">
        <w:rPr>
          <w:rFonts w:cs="Segoe UI"/>
        </w:rPr>
        <w:fldChar w:fldCharType="end"/>
      </w:r>
      <w:r w:rsidRPr="0007414B">
        <w:rPr>
          <w:rFonts w:cs="Segoe UI"/>
        </w:rPr>
        <w:t>. Manatū Hauora has run t</w:t>
      </w:r>
      <w:r w:rsidRPr="0007414B">
        <w:rPr>
          <w:rFonts w:eastAsia="Calibri Light" w:cs="Segoe UI"/>
        </w:rPr>
        <w:t>he Health Survey</w:t>
      </w:r>
      <w:r w:rsidRPr="0007414B" w:rsidDel="00F21879">
        <w:rPr>
          <w:rFonts w:eastAsia="Calibri Light" w:cs="Segoe UI"/>
        </w:rPr>
        <w:t xml:space="preserve"> </w:t>
      </w:r>
      <w:r w:rsidRPr="0007414B">
        <w:rPr>
          <w:rFonts w:eastAsia="Calibri Light" w:cs="Segoe UI"/>
        </w:rPr>
        <w:t>in various forms since 1992/93 (and every year since 2011/12). Due to the impacts of COVID-19, t</w:t>
      </w:r>
      <w:r w:rsidRPr="0007414B">
        <w:rPr>
          <w:rFonts w:cs="Segoe UI"/>
        </w:rPr>
        <w:t>he adult sample for 2021/22 was about 33% of the size of the usual sample, and the child sample was about 30% of the size of the usual sample (compared with the years from 2011/12 to 2018/19, before the COVID-19 pandemic</w:t>
      </w:r>
      <w:r>
        <w:rPr>
          <w:rFonts w:cs="Segoe UI"/>
        </w:rPr>
        <w:t>;</w:t>
      </w:r>
      <w:r w:rsidRPr="0007414B">
        <w:rPr>
          <w:rFonts w:cs="Segoe UI"/>
        </w:rPr>
        <w:t xml:space="preserve"> </w:t>
      </w:r>
      <w:r w:rsidRPr="0007414B">
        <w:rPr>
          <w:rFonts w:cs="Segoe UI"/>
        </w:rPr>
        <w:fldChar w:fldCharType="begin"/>
      </w:r>
      <w:r>
        <w:rPr>
          <w:rFonts w:cs="Segoe UI"/>
        </w:rPr>
        <w:instrText xml:space="preserve"> ADDIN EN.CITE &lt;EndNote&gt;&lt;Cite&gt;&lt;Author&gt;Manatū Hauora&lt;/Author&gt;&lt;Year&gt;2022&lt;/Year&gt;&lt;RecNum&gt;288&lt;/RecNum&gt;&lt;DisplayText&gt;(Manatū Hauora 2022i)&lt;/DisplayText&gt;&lt;record&gt;&lt;rec-number&gt;288&lt;/rec-number&gt;&lt;foreign-keys&gt;&lt;key app="EN" db-id="aaepvppzs5wtfse95vsp2wahsrtvva2vvdet" timestamp="1683250326"&gt;288&lt;/key&gt;&lt;/foreign-keys&gt;&lt;ref-type name="Web Page"&gt;12&lt;/ref-type&gt;&lt;contributors&gt;&lt;authors&gt;&lt;author&gt;&lt;style face="normal" font="default" size="100%"&gt;Manat&lt;/style&gt;&lt;style face="normal" font="default" charset="238" size="100%"&gt;ū Hauora,&lt;/style&gt;&lt;/author&gt;&lt;/authors&gt;&lt;/contributors&gt;&lt;titles&gt;&lt;title&gt;Methodology Report 2021/22: New Zealand Health Survey&lt;/title&gt;&lt;/titles&gt;&lt;number&gt;5 May 2023&lt;/number&gt;&lt;dates&gt;&lt;year&gt;2022&lt;/year&gt;&lt;/dates&gt;&lt;urls&gt;&lt;related-urls&gt;&lt;url&gt;www.health.govt.nz/system/files/documents/publications/methodology_report_2021_22-_new_zealand_health_survey_11_nov.pdf&lt;/url&gt;&lt;/related-urls&gt;&lt;/urls&gt;&lt;/record&gt;&lt;/Cite&gt;&lt;/EndNote&gt;</w:instrText>
      </w:r>
      <w:r w:rsidRPr="0007414B">
        <w:rPr>
          <w:rFonts w:cs="Segoe UI"/>
        </w:rPr>
        <w:fldChar w:fldCharType="separate"/>
      </w:r>
      <w:r w:rsidRPr="0007414B">
        <w:rPr>
          <w:rFonts w:cs="Segoe UI"/>
          <w:noProof/>
        </w:rPr>
        <w:t>Manatū Hauora 2022i)</w:t>
      </w:r>
      <w:r w:rsidRPr="0007414B">
        <w:rPr>
          <w:rFonts w:cs="Segoe UI"/>
        </w:rPr>
        <w:fldChar w:fldCharType="end"/>
      </w:r>
      <w:r w:rsidRPr="0007414B">
        <w:rPr>
          <w:rFonts w:eastAsia="Calibri Light" w:cs="Segoe UI"/>
        </w:rPr>
        <w:t xml:space="preserve">. The sample size for the 2021/22 survey was 4,434 adults (coverage rate of 44%) and 1,323 children (coverage rate of 48%). The coverage rates were 33% for Māori, 36% for Pacific peoples and 50% for Asian peoples </w:t>
      </w:r>
      <w:r w:rsidRPr="0007414B">
        <w:rPr>
          <w:rFonts w:eastAsia="Calibri Light" w:cs="Segoe UI"/>
        </w:rPr>
        <w:fldChar w:fldCharType="begin"/>
      </w:r>
      <w:r>
        <w:rPr>
          <w:rFonts w:eastAsia="Calibri Light" w:cs="Segoe UI"/>
        </w:rPr>
        <w:instrText xml:space="preserve"> ADDIN EN.CITE &lt;EndNote&gt;&lt;Cite&gt;&lt;Author&gt;Manatū Hauora&lt;/Author&gt;&lt;Year&gt;2022&lt;/Year&gt;&lt;RecNum&gt;288&lt;/RecNum&gt;&lt;DisplayText&gt;(Manatū Hauora 2022i)&lt;/DisplayText&gt;&lt;record&gt;&lt;rec-number&gt;288&lt;/rec-number&gt;&lt;foreign-keys&gt;&lt;key app="EN" db-id="aaepvppzs5wtfse95vsp2wahsrtvva2vvdet" timestamp="1683250326"&gt;288&lt;/key&gt;&lt;/foreign-keys&gt;&lt;ref-type name="Web Page"&gt;12&lt;/ref-type&gt;&lt;contributors&gt;&lt;authors&gt;&lt;author&gt;&lt;style face="normal" font="default" size="100%"&gt;Manat&lt;/style&gt;&lt;style face="normal" font="default" charset="238" size="100%"&gt;ū Hauora,&lt;/style&gt;&lt;/author&gt;&lt;/authors&gt;&lt;/contributors&gt;&lt;titles&gt;&lt;title&gt;Methodology Report 2021/22: New Zealand Health Survey&lt;/title&gt;&lt;/titles&gt;&lt;number&gt;5 May 2023&lt;/number&gt;&lt;dates&gt;&lt;year&gt;2022&lt;/year&gt;&lt;/dates&gt;&lt;urls&gt;&lt;related-urls&gt;&lt;url&gt;www.health.govt.nz/system/files/documents/publications/methodology_report_2021_22-_new_zealand_health_survey_11_nov.pdf&lt;/url&gt;&lt;/related-urls&gt;&lt;/urls&gt;&lt;/record&gt;&lt;/Cite&gt;&lt;/EndNote&gt;</w:instrText>
      </w:r>
      <w:r w:rsidRPr="0007414B">
        <w:rPr>
          <w:rFonts w:eastAsia="Calibri Light" w:cs="Segoe UI"/>
        </w:rPr>
        <w:fldChar w:fldCharType="separate"/>
      </w:r>
      <w:r w:rsidRPr="0007414B">
        <w:rPr>
          <w:rFonts w:eastAsia="Calibri Light" w:cs="Segoe UI"/>
          <w:noProof/>
        </w:rPr>
        <w:t>(Manatū Hauora 2022i)</w:t>
      </w:r>
      <w:r w:rsidRPr="0007414B">
        <w:rPr>
          <w:rFonts w:eastAsia="Calibri Light" w:cs="Segoe UI"/>
        </w:rPr>
        <w:fldChar w:fldCharType="end"/>
      </w:r>
      <w:r w:rsidRPr="0007414B">
        <w:rPr>
          <w:rFonts w:eastAsia="Calibri Light" w:cs="Segoe UI"/>
        </w:rPr>
        <w:t xml:space="preserve">. </w:t>
      </w:r>
    </w:p>
    <w:p w14:paraId="7CAFD3DF" w14:textId="77777777" w:rsidR="00A474DA" w:rsidRPr="0007414B" w:rsidRDefault="00A474DA" w:rsidP="00A474DA">
      <w:pPr>
        <w:rPr>
          <w:rFonts w:eastAsia="Calibri Light" w:cs="Segoe UI"/>
          <w:szCs w:val="21"/>
        </w:rPr>
      </w:pPr>
    </w:p>
    <w:p w14:paraId="00600302" w14:textId="77777777" w:rsidR="00A474DA" w:rsidRPr="0007414B" w:rsidRDefault="00A474DA" w:rsidP="00A474DA">
      <w:pPr>
        <w:rPr>
          <w:rFonts w:eastAsia="Calibri Light" w:cs="Segoe UI"/>
        </w:rPr>
      </w:pPr>
      <w:r w:rsidRPr="0007414B">
        <w:rPr>
          <w:rFonts w:eastAsia="Calibri Light" w:cs="Segoe UI"/>
        </w:rPr>
        <w:t>To increase the sample size for smaller population groups, this report presents most Health Survey data</w:t>
      </w:r>
      <w:r w:rsidRPr="0007414B" w:rsidDel="00F21879">
        <w:rPr>
          <w:rFonts w:eastAsia="Calibri Light" w:cs="Segoe UI"/>
        </w:rPr>
        <w:t xml:space="preserve"> </w:t>
      </w:r>
      <w:r w:rsidRPr="0007414B">
        <w:rPr>
          <w:rFonts w:eastAsia="Calibri Light" w:cs="Segoe UI"/>
        </w:rPr>
        <w:t>as 3-year rolling averages. This means that each statistic is averaged across 3 consecutive years of survey data. The advantage of this approach is that it smooths trends over time, making it easier to interpret and discuss trends. Due to this pooling methodology, Health Survey numbers in this document may differ from numbers published elsewhere. For Health Survey data that is not collected every year, we present it</w:t>
      </w:r>
      <w:r w:rsidRPr="0007414B" w:rsidDel="00F21879">
        <w:rPr>
          <w:rFonts w:eastAsia="Calibri Light" w:cs="Segoe UI"/>
        </w:rPr>
        <w:t xml:space="preserve"> </w:t>
      </w:r>
      <w:r w:rsidRPr="0007414B">
        <w:rPr>
          <w:rFonts w:eastAsia="Calibri Light" w:cs="Segoe UI"/>
        </w:rPr>
        <w:t>by survey year rather than 3-year pooled periods and note this accordingly. For more details, see the ‘Technical notes’ section. </w:t>
      </w:r>
    </w:p>
    <w:p w14:paraId="7C6EE521" w14:textId="601A03E6" w:rsidR="001A4831" w:rsidRDefault="001A4831" w:rsidP="001A4831">
      <w:pPr>
        <w:pStyle w:val="Heading3"/>
        <w:rPr>
          <w:rFonts w:eastAsia="Arial Unicode MS"/>
        </w:rPr>
      </w:pPr>
      <w:r w:rsidRPr="001A4831">
        <w:rPr>
          <w:rFonts w:eastAsia="Arial Unicode MS"/>
        </w:rPr>
        <w:t>Self-rated health</w:t>
      </w:r>
    </w:p>
    <w:p w14:paraId="7445D6FA" w14:textId="77777777" w:rsidR="00A474DA" w:rsidRPr="0007414B" w:rsidRDefault="00A474DA" w:rsidP="00A474DA">
      <w:pPr>
        <w:rPr>
          <w:rFonts w:eastAsia="Calibri Light"/>
        </w:rPr>
      </w:pPr>
      <w:r w:rsidRPr="0007414B">
        <w:rPr>
          <w:rFonts w:eastAsia="Calibri Light"/>
        </w:rPr>
        <w:t xml:space="preserve">In the Health Survey, for the </w:t>
      </w:r>
      <w:r w:rsidRPr="0007414B">
        <w:t xml:space="preserve">3-year pooled period ending </w:t>
      </w:r>
      <w:r w:rsidRPr="0007414B">
        <w:rPr>
          <w:rFonts w:eastAsia="Calibri Light"/>
        </w:rPr>
        <w:t>2021/22</w:t>
      </w:r>
      <w:r>
        <w:rPr>
          <w:rFonts w:eastAsia="Calibri Light"/>
        </w:rPr>
        <w:t>,</w:t>
      </w:r>
      <w:r w:rsidRPr="0007414B">
        <w:rPr>
          <w:rFonts w:eastAsia="Calibri Light"/>
        </w:rPr>
        <w:t xml:space="preserve"> most adults (87.8%) reported that they were in good health (defined as good, very good or excellent health</w:t>
      </w:r>
      <w:r>
        <w:rPr>
          <w:rFonts w:eastAsia="Calibri Light"/>
        </w:rPr>
        <w:t>;</w:t>
      </w:r>
      <w:r w:rsidRPr="0007414B">
        <w:rPr>
          <w:rFonts w:eastAsia="Calibri Light"/>
        </w:rPr>
        <w:t xml:space="preserve"> </w:t>
      </w:r>
      <w:r w:rsidRPr="0007414B">
        <w:rPr>
          <w:rFonts w:eastAsia="Calibri Light"/>
        </w:rPr>
        <w:fldChar w:fldCharType="begin"/>
      </w:r>
      <w:r w:rsidRPr="0007414B">
        <w:rPr>
          <w:rFonts w:eastAsia="Calibri Light"/>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eastAsia="Calibri Light"/>
        </w:rPr>
        <w:fldChar w:fldCharType="separate"/>
      </w:r>
      <w:r w:rsidRPr="0007414B">
        <w:rPr>
          <w:rFonts w:eastAsia="Calibri Light"/>
        </w:rPr>
        <w:t>Manatū Hauora 2023a)</w:t>
      </w:r>
      <w:r w:rsidRPr="0007414B">
        <w:rPr>
          <w:rFonts w:eastAsia="Calibri Light"/>
        </w:rPr>
        <w:fldChar w:fldCharType="end"/>
      </w:r>
      <w:r w:rsidRPr="0007414B">
        <w:rPr>
          <w:color w:val="333333"/>
        </w:rPr>
        <w:t>.</w:t>
      </w:r>
      <w:r w:rsidRPr="0007414B">
        <w:rPr>
          <w:rFonts w:eastAsia="Calibri Light"/>
        </w:rPr>
        <w:t xml:space="preserve"> In the </w:t>
      </w:r>
      <w:r w:rsidRPr="0007414B">
        <w:t>same period</w:t>
      </w:r>
      <w:r w:rsidRPr="0007414B">
        <w:rPr>
          <w:rFonts w:eastAsia="Calibri Light"/>
        </w:rPr>
        <w:t>, ethnic groups differed in their self-reported good health:</w:t>
      </w:r>
    </w:p>
    <w:p w14:paraId="365525B3" w14:textId="77777777" w:rsidR="00A474DA" w:rsidRPr="0007414B" w:rsidRDefault="00A474DA" w:rsidP="00A474DA">
      <w:pPr>
        <w:pStyle w:val="Bullet"/>
      </w:pPr>
      <w:r w:rsidRPr="0007414B">
        <w:t>80.3% of Māori adults</w:t>
      </w:r>
    </w:p>
    <w:p w14:paraId="7B942368" w14:textId="77777777" w:rsidR="00A474DA" w:rsidRPr="0007414B" w:rsidRDefault="00A474DA" w:rsidP="00A474DA">
      <w:pPr>
        <w:pStyle w:val="Bullet"/>
      </w:pPr>
      <w:r w:rsidRPr="0007414B">
        <w:t>81.5% of Pacific adults</w:t>
      </w:r>
    </w:p>
    <w:p w14:paraId="7D1F55BF" w14:textId="77777777" w:rsidR="00A474DA" w:rsidRPr="0007414B" w:rsidRDefault="00A474DA" w:rsidP="00A474DA">
      <w:pPr>
        <w:pStyle w:val="Bullet"/>
      </w:pPr>
      <w:r w:rsidRPr="0007414B">
        <w:t>88.4% of European/other adults</w:t>
      </w:r>
    </w:p>
    <w:p w14:paraId="36298217" w14:textId="77777777" w:rsidR="00A474DA" w:rsidRPr="0007414B" w:rsidRDefault="00A474DA" w:rsidP="00A474DA">
      <w:pPr>
        <w:pStyle w:val="Bullet"/>
      </w:pPr>
      <w:r w:rsidRPr="0007414B">
        <w:t>91.3% of Asian adults.</w:t>
      </w:r>
    </w:p>
    <w:p w14:paraId="71707003" w14:textId="77777777" w:rsidR="00A474DA" w:rsidRPr="0007414B" w:rsidRDefault="00A474DA" w:rsidP="00A474DA"/>
    <w:p w14:paraId="0186241F" w14:textId="77777777" w:rsidR="00A474DA" w:rsidRPr="0007414B" w:rsidRDefault="00A474DA" w:rsidP="00A474DA">
      <w:r w:rsidRPr="0007414B">
        <w:t>Disabled adults were also significantly less likely</w:t>
      </w:r>
      <w:r w:rsidRPr="0007414B" w:rsidDel="00A642BA">
        <w:t xml:space="preserve"> </w:t>
      </w:r>
      <w:r w:rsidRPr="0007414B">
        <w:t>to report being in good health (59.2%) than non-disabled adults (90.5%), after adjusting for age and gender.</w:t>
      </w:r>
    </w:p>
    <w:p w14:paraId="1935EE4E" w14:textId="77777777" w:rsidR="00A474DA" w:rsidRPr="0007414B" w:rsidRDefault="00A474DA" w:rsidP="00A474DA">
      <w:r w:rsidRPr="0007414B">
        <w:lastRenderedPageBreak/>
        <w:t>Adults living in the most socioeconomically deprived areas were less likely</w:t>
      </w:r>
      <w:r w:rsidRPr="0007414B" w:rsidDel="00A642BA">
        <w:t xml:space="preserve"> </w:t>
      </w:r>
      <w:r w:rsidRPr="0007414B">
        <w:t xml:space="preserve">to say they were in good health (82.3%) than adults in </w:t>
      </w:r>
      <w:r>
        <w:t>the</w:t>
      </w:r>
      <w:r w:rsidRPr="0007414B">
        <w:t xml:space="preserve"> le</w:t>
      </w:r>
      <w:r>
        <w:t>ast</w:t>
      </w:r>
      <w:r w:rsidRPr="0007414B">
        <w:t xml:space="preserve"> deprived areas (92.2%).</w:t>
      </w:r>
    </w:p>
    <w:p w14:paraId="4503D594" w14:textId="77777777" w:rsidR="00A474DA" w:rsidRPr="0007414B" w:rsidRDefault="00A474DA" w:rsidP="00A474DA"/>
    <w:p w14:paraId="3F25698B" w14:textId="77777777" w:rsidR="00A474DA" w:rsidRPr="0007414B" w:rsidRDefault="00A474DA" w:rsidP="00A474DA">
      <w:r w:rsidRPr="0007414B">
        <w:t>In the 3-year pooled period ending 2021/22, according to their parents or primary caregivers, 86.6% of children were in very good or excellent health. This high level of good health among children has been stable since 20</w:t>
      </w:r>
      <w:r>
        <w:t>13</w:t>
      </w:r>
      <w:r w:rsidRPr="0007414B">
        <w:t>/1</w:t>
      </w:r>
      <w:r>
        <w:t>4</w:t>
      </w:r>
      <w:r w:rsidRPr="0007414B">
        <w:t>. However:</w:t>
      </w:r>
    </w:p>
    <w:p w14:paraId="194EC254" w14:textId="77777777" w:rsidR="00A474DA" w:rsidRPr="0007414B" w:rsidRDefault="00A474DA" w:rsidP="00A474DA">
      <w:pPr>
        <w:pStyle w:val="Bullet"/>
      </w:pPr>
      <w:r w:rsidRPr="0007414B">
        <w:t>parents of Māori children</w:t>
      </w:r>
      <w:r w:rsidRPr="0007414B" w:rsidDel="00A642BA">
        <w:t xml:space="preserve"> </w:t>
      </w:r>
      <w:r w:rsidRPr="0007414B">
        <w:t>were less likely to rate their children’s health as very good or excellent (82.0%) than parents of non-Māori children (88.4%)</w:t>
      </w:r>
    </w:p>
    <w:p w14:paraId="7D81D944" w14:textId="77777777" w:rsidR="00A474DA" w:rsidRPr="0007414B" w:rsidRDefault="00A474DA" w:rsidP="00A474DA">
      <w:pPr>
        <w:pStyle w:val="Bullet"/>
      </w:pPr>
      <w:r w:rsidRPr="0007414B">
        <w:t>parents of children living in the most deprived areas</w:t>
      </w:r>
      <w:r w:rsidRPr="0007414B" w:rsidDel="00A642BA">
        <w:t xml:space="preserve"> </w:t>
      </w:r>
      <w:r w:rsidRPr="0007414B">
        <w:t>were less likely to rate their children’s health as very good or excellent (80.1%) than parents of children living in the least deprived areas (91.3%).</w:t>
      </w:r>
    </w:p>
    <w:p w14:paraId="4859A9DB" w14:textId="45DD38F7" w:rsidR="001A4831" w:rsidRDefault="001A4831" w:rsidP="001A4831">
      <w:pPr>
        <w:pStyle w:val="Heading3"/>
        <w:rPr>
          <w:rFonts w:eastAsia="Arial Unicode MS"/>
        </w:rPr>
      </w:pPr>
      <w:r w:rsidRPr="001A4831">
        <w:rPr>
          <w:rFonts w:eastAsia="Arial Unicode MS"/>
        </w:rPr>
        <w:t>Life expectancy</w:t>
      </w:r>
    </w:p>
    <w:p w14:paraId="1BA0DA56" w14:textId="77777777" w:rsidR="00A474DA" w:rsidRPr="0007414B" w:rsidRDefault="00A474DA" w:rsidP="00A474DA">
      <w:r w:rsidRPr="0007414B">
        <w:t xml:space="preserve">According to Stats NZ, the number of deaths in Aotearoa New Zealand rose to 38,574 in 2022 </w:t>
      </w:r>
      <w:r>
        <w:fldChar w:fldCharType="begin"/>
      </w:r>
      <w:r>
        <w:instrText xml:space="preserve"> ADDIN EN.CITE &lt;EndNote&gt;&lt;Cite&gt;&lt;Author&gt;Stats NZ&lt;/Author&gt;&lt;Year&gt;2023&lt;/Year&gt;&lt;RecNum&gt;323&lt;/RecNum&gt;&lt;DisplayText&gt;(Stats NZ 2023a)&lt;/DisplayText&gt;&lt;record&gt;&lt;rec-number&gt;323&lt;/rec-number&gt;&lt;foreign-keys&gt;&lt;key app="EN" db-id="aaepvppzs5wtfse95vsp2wahsrtvva2vvdet" timestamp="1683260558"&gt;323&lt;/key&gt;&lt;/foreign-keys&gt;&lt;ref-type name="Web Page"&gt;12&lt;/ref-type&gt;&lt;contributors&gt;&lt;authors&gt;&lt;author&gt;Stats NZ,&lt;/author&gt;&lt;/authors&gt;&lt;/contributors&gt;&lt;titles&gt;&lt;title&gt;Births and deaths: Year ended December 2022 (including abridged period life table)&lt;/title&gt;&lt;/titles&gt;&lt;number&gt;5 May 2023&lt;/number&gt;&lt;dates&gt;&lt;year&gt;2023&lt;/year&gt;&lt;/dates&gt;&lt;urls&gt;&lt;related-urls&gt;&lt;url&gt;www.stats.govt.nz/information-releases/births-and-deaths-year-ended-december-2022-including-abridged-period-life-table/&lt;/url&gt;&lt;/related-urls&gt;&lt;/urls&gt;&lt;/record&gt;&lt;/Cite&gt;&lt;/EndNote&gt;</w:instrText>
      </w:r>
      <w:r>
        <w:fldChar w:fldCharType="separate"/>
      </w:r>
      <w:r>
        <w:rPr>
          <w:noProof/>
        </w:rPr>
        <w:t>(Stats NZ 2023a)</w:t>
      </w:r>
      <w:r>
        <w:fldChar w:fldCharType="end"/>
      </w:r>
      <w:r w:rsidRPr="0007414B">
        <w:t>. This was a 10</w:t>
      </w:r>
      <w:r>
        <w:t>.4</w:t>
      </w:r>
      <w:r w:rsidRPr="0007414B">
        <w:t>% increase in the number of registered deaths compared with 2021, which had 34,932 registered deaths. COVID-19 contributed to the increase in deaths, with 2,358 deaths attributed to the pandemic. However, over the</w:t>
      </w:r>
      <w:r w:rsidRPr="0007414B" w:rsidDel="00C0551E">
        <w:t xml:space="preserve"> </w:t>
      </w:r>
      <w:r w:rsidRPr="0007414B">
        <w:t>3 years of the pandemic, Aotearoa New Zealand recorded one of the lowest excess mortality rates (deaths above what would be expected in normal conditions) of all countries in the Organisation for Economic Co-operation and Development (OECD</w:t>
      </w:r>
      <w:r>
        <w:t>;</w:t>
      </w:r>
      <w:r w:rsidRPr="0007414B">
        <w:t xml:space="preserve"> </w:t>
      </w:r>
      <w:r w:rsidRPr="0007414B">
        <w:fldChar w:fldCharType="begin"/>
      </w:r>
      <w:r w:rsidRPr="0007414B">
        <w:instrText xml:space="preserve"> ADDIN EN.CITE &lt;EndNote&gt;&lt;Cite&gt;&lt;Author&gt;Kobak&lt;/Author&gt;&lt;Year&gt;2023&lt;/Year&gt;&lt;RecNum&gt;347&lt;/RecNum&gt;&lt;DisplayText&gt;(Kobak 2023)&lt;/DisplayText&gt;&lt;record&gt;&lt;rec-number&gt;347&lt;/rec-number&gt;&lt;foreign-keys&gt;&lt;key app="EN" db-id="aaepvppzs5wtfse95vsp2wahsrtvva2vvdet" timestamp="1683842724"&gt;347&lt;/key&gt;&lt;/foreign-keys&gt;&lt;ref-type name="Web Page"&gt;12&lt;/ref-type&gt;&lt;contributors&gt;&lt;authors&gt;&lt;author&gt;Kobak, Dmitry&lt;/author&gt;&lt;/authors&gt;&lt;/contributors&gt;&lt;titles&gt;&lt;title&gt;Excess mortality during the COVID-19 pandemic&lt;/title&gt;&lt;/titles&gt;&lt;number&gt;28 April 2023&lt;/number&gt;&lt;dates&gt;&lt;year&gt;2023&lt;/year&gt;&lt;/dates&gt;&lt;urls&gt;&lt;related-urls&gt;&lt;url&gt;https://github.com/dkobak/excess-mortality&lt;/url&gt;&lt;/related-urls&gt;&lt;/urls&gt;&lt;/record&gt;&lt;/Cite&gt;&lt;/EndNote&gt;</w:instrText>
      </w:r>
      <w:r w:rsidRPr="0007414B">
        <w:fldChar w:fldCharType="separate"/>
      </w:r>
      <w:r w:rsidRPr="0007414B">
        <w:t>Kobak 2023)</w:t>
      </w:r>
      <w:r w:rsidRPr="0007414B">
        <w:fldChar w:fldCharType="end"/>
      </w:r>
      <w:r w:rsidRPr="0007414B">
        <w:t>.</w:t>
      </w:r>
    </w:p>
    <w:p w14:paraId="04E4DE4D" w14:textId="77777777" w:rsidR="00A474DA" w:rsidRPr="0007414B" w:rsidRDefault="00A474DA" w:rsidP="00A474DA"/>
    <w:p w14:paraId="5B30E745" w14:textId="77777777" w:rsidR="00A474DA" w:rsidRPr="0007414B" w:rsidRDefault="00A474DA" w:rsidP="00A474DA">
      <w:r w:rsidRPr="0007414B">
        <w:rPr>
          <w:rFonts w:eastAsia="Calibri Light"/>
        </w:rPr>
        <w:t>The increase in deaths in 2022 also partly reflects the ageing population</w:t>
      </w:r>
      <w:r w:rsidRPr="0007414B">
        <w:t xml:space="preserve">. Nearly 2 in every 3 deaths were among people aged 75 years and over, and 1 in every 5 deaths was among people aged 90 years and over </w:t>
      </w:r>
      <w:r w:rsidRPr="0007414B">
        <w:fldChar w:fldCharType="begin"/>
      </w:r>
      <w:r>
        <w:instrText xml:space="preserve"> ADDIN EN.CITE &lt;EndNote&gt;&lt;Cite&gt;&lt;Author&gt;Stats NZ&lt;/Author&gt;&lt;Year&gt;2023&lt;/Year&gt;&lt;RecNum&gt;289&lt;/RecNum&gt;&lt;DisplayText&gt;(Stats NZ 2023c)&lt;/DisplayText&gt;&lt;record&gt;&lt;rec-number&gt;289&lt;/rec-number&gt;&lt;foreign-keys&gt;&lt;key app="EN" db-id="aaepvppzs5wtfse95vsp2wahsrtvva2vvdet" timestamp="1683250454"&gt;289&lt;/key&gt;&lt;/foreign-keys&gt;&lt;ref-type name="Web Page"&gt;12&lt;/ref-type&gt;&lt;contributors&gt;&lt;authors&gt;&lt;author&gt;Stats NZ,&lt;/author&gt;&lt;/authors&gt;&lt;/contributors&gt;&lt;titles&gt;&lt;title&gt;Deaths increase by ten percent in 2022&lt;/title&gt;&lt;/titles&gt;&lt;number&gt;5 May 2023&lt;/number&gt;&lt;dates&gt;&lt;year&gt;2023&lt;/year&gt;&lt;/dates&gt;&lt;urls&gt;&lt;related-urls&gt;&lt;url&gt;www.stats.govt.nz/news/deaths-increase-by-ten-percent-in-2022/&lt;/url&gt;&lt;/related-urls&gt;&lt;/urls&gt;&lt;/record&gt;&lt;/Cite&gt;&lt;/EndNote&gt;</w:instrText>
      </w:r>
      <w:r w:rsidRPr="0007414B">
        <w:fldChar w:fldCharType="separate"/>
      </w:r>
      <w:r w:rsidRPr="0007414B">
        <w:rPr>
          <w:noProof/>
        </w:rPr>
        <w:t>(Stats NZ 2023c)</w:t>
      </w:r>
      <w:r w:rsidRPr="0007414B">
        <w:fldChar w:fldCharType="end"/>
      </w:r>
      <w:r w:rsidRPr="0007414B">
        <w:t>. According to Stats NZ, deaths in Aotearoa New Zealand are gradually increasing, as the number of older people in the population (the age group where most deaths occur) grows.</w:t>
      </w:r>
    </w:p>
    <w:p w14:paraId="7E251DDA" w14:textId="77777777" w:rsidR="00A474DA" w:rsidRPr="0007414B" w:rsidRDefault="00A474DA" w:rsidP="00A474DA"/>
    <w:p w14:paraId="70F72197" w14:textId="77777777" w:rsidR="00A474DA" w:rsidRPr="0007414B" w:rsidRDefault="00A474DA" w:rsidP="00A474DA">
      <w:pPr>
        <w:rPr>
          <w:shd w:val="clear" w:color="auto" w:fill="FFFFFF"/>
        </w:rPr>
      </w:pPr>
      <w:r w:rsidRPr="0007414B">
        <w:t xml:space="preserve">Over recent years, the trend has been for life expectancy to increase for both males and females </w:t>
      </w:r>
      <w:r w:rsidRPr="0007414B">
        <w:fldChar w:fldCharType="begin"/>
      </w:r>
      <w:r>
        <w:instrText xml:space="preserve"> ADDIN EN.CITE &lt;EndNote&gt;&lt;Cite&gt;&lt;Author&gt;Stats NZ&lt;/Author&gt;&lt;Year&gt;2023&lt;/Year&gt;&lt;RecNum&gt;323&lt;/RecNum&gt;&lt;DisplayText&gt;(Stats NZ 2023a)&lt;/DisplayText&gt;&lt;record&gt;&lt;rec-number&gt;323&lt;/rec-number&gt;&lt;foreign-keys&gt;&lt;key app="EN" db-id="aaepvppzs5wtfse95vsp2wahsrtvva2vvdet" timestamp="1683260558"&gt;323&lt;/key&gt;&lt;/foreign-keys&gt;&lt;ref-type name="Web Page"&gt;12&lt;/ref-type&gt;&lt;contributors&gt;&lt;authors&gt;&lt;author&gt;Stats NZ,&lt;/author&gt;&lt;/authors&gt;&lt;/contributors&gt;&lt;titles&gt;&lt;title&gt;Births and deaths: Year ended December 2022 (including abridged period life table)&lt;/title&gt;&lt;/titles&gt;&lt;number&gt;5 May 2023&lt;/number&gt;&lt;dates&gt;&lt;year&gt;2023&lt;/year&gt;&lt;/dates&gt;&lt;urls&gt;&lt;related-urls&gt;&lt;url&gt;www.stats.govt.nz/information-releases/births-and-deaths-year-ended-december-2022-including-abridged-period-life-table/&lt;/url&gt;&lt;/related-urls&gt;&lt;/urls&gt;&lt;/record&gt;&lt;/Cite&gt;&lt;/EndNote&gt;</w:instrText>
      </w:r>
      <w:r w:rsidRPr="0007414B">
        <w:fldChar w:fldCharType="separate"/>
      </w:r>
      <w:r w:rsidRPr="0007414B">
        <w:rPr>
          <w:noProof/>
        </w:rPr>
        <w:t>(Stats NZ 2023a)</w:t>
      </w:r>
      <w:r w:rsidRPr="0007414B">
        <w:fldChar w:fldCharType="end"/>
      </w:r>
      <w:r w:rsidRPr="0007414B">
        <w:t>. In contrast, changes in life expectancy at birth were relatively small in 2022. However, we can also see this change in a broader context: a global</w:t>
      </w:r>
      <w:r w:rsidRPr="0007414B">
        <w:rPr>
          <w:shd w:val="clear" w:color="auto" w:fill="FFFFFF"/>
        </w:rPr>
        <w:t xml:space="preserve"> study of 37 countries, published in the </w:t>
      </w:r>
      <w:r w:rsidRPr="003757BD">
        <w:rPr>
          <w:i/>
          <w:iCs/>
          <w:shd w:val="clear" w:color="auto" w:fill="FFFFFF"/>
        </w:rPr>
        <w:t>British Medical Journal</w:t>
      </w:r>
      <w:r w:rsidRPr="0007414B">
        <w:rPr>
          <w:shd w:val="clear" w:color="auto" w:fill="FFFFFF"/>
        </w:rPr>
        <w:t xml:space="preserve">, found life expectancy in 2020 for men and women fell in all countries except Aotearoa New Zealand, Taiwan and Norway </w:t>
      </w:r>
      <w:r w:rsidRPr="0007414B">
        <w:rPr>
          <w:shd w:val="clear" w:color="auto" w:fill="FFFFFF"/>
        </w:rPr>
        <w:fldChar w:fldCharType="begin"/>
      </w:r>
      <w:r>
        <w:rPr>
          <w:shd w:val="clear" w:color="auto" w:fill="FFFFFF"/>
        </w:rPr>
        <w:instrText xml:space="preserve"> ADDIN EN.CITE &lt;EndNote&gt;&lt;Cite&gt;&lt;Author&gt;Islam&lt;/Author&gt;&lt;Year&gt;2021&lt;/Year&gt;&lt;RecNum&gt;290&lt;/RecNum&gt;&lt;DisplayText&gt;(Islam et al 2021)&lt;/DisplayText&gt;&lt;record&gt;&lt;rec-number&gt;290&lt;/rec-number&gt;&lt;foreign-keys&gt;&lt;key app="EN" db-id="aaepvppzs5wtfse95vsp2wahsrtvva2vvdet" timestamp="1683250597"&gt;290&lt;/key&gt;&lt;/foreign-keys&gt;&lt;ref-type name="Journal Article"&gt;17&lt;/ref-type&gt;&lt;contributors&gt;&lt;authors&gt;&lt;author&gt;Islam, Nazrul&lt;/author&gt;&lt;author&gt;Jdanov, Dmitri A&lt;/author&gt;&lt;author&gt;Shkolnikov, Vladimir M&lt;/author&gt;&lt;author&gt;Khunti, Kamlesh&lt;/author&gt;&lt;author&gt;Kawachi, Ichiro&lt;/author&gt;&lt;author&gt;White, Martin&lt;/author&gt;&lt;author&gt;Lewington, Sarah&lt;/author&gt;&lt;author&gt;Lacey, Ben&lt;/author&gt;&lt;/authors&gt;&lt;/contributors&gt;&lt;titles&gt;&lt;title&gt;Effects of covid-19 pandemic on life expectancy and premature mortality in 2020: time series analysis in 37 countries&lt;/title&gt;&lt;secondary-title&gt;BMJ&lt;/secondary-title&gt;&lt;/titles&gt;&lt;periodical&gt;&lt;full-title&gt;BMJ&lt;/full-title&gt;&lt;/periodical&gt;&lt;pages&gt;e066768&lt;/pages&gt;&lt;volume&gt;375&lt;/volume&gt;&lt;dates&gt;&lt;year&gt;2021&lt;/year&gt;&lt;/dates&gt;&lt;urls&gt;&lt;related-urls&gt;&lt;url&gt;www.bmj.com/content/375/bmj-2021-066768&lt;/url&gt;&lt;/related-urls&gt;&lt;/urls&gt;&lt;/record&gt;&lt;/Cite&gt;&lt;/EndNote&gt;</w:instrText>
      </w:r>
      <w:r w:rsidRPr="0007414B">
        <w:rPr>
          <w:shd w:val="clear" w:color="auto" w:fill="FFFFFF"/>
        </w:rPr>
        <w:fldChar w:fldCharType="separate"/>
      </w:r>
      <w:r w:rsidRPr="0007414B">
        <w:rPr>
          <w:noProof/>
          <w:shd w:val="clear" w:color="auto" w:fill="FFFFFF"/>
        </w:rPr>
        <w:t>(Islam et al 2021)</w:t>
      </w:r>
      <w:r w:rsidRPr="0007414B">
        <w:rPr>
          <w:shd w:val="clear" w:color="auto" w:fill="FFFFFF"/>
        </w:rPr>
        <w:fldChar w:fldCharType="end"/>
      </w:r>
      <w:r w:rsidRPr="0007414B">
        <w:rPr>
          <w:shd w:val="clear" w:color="auto" w:fill="FFFFFF"/>
        </w:rPr>
        <w:t>.</w:t>
      </w:r>
    </w:p>
    <w:p w14:paraId="53D07F30" w14:textId="77777777" w:rsidR="00A474DA" w:rsidRPr="0007414B" w:rsidRDefault="00A474DA" w:rsidP="00A474DA">
      <w:pPr>
        <w:rPr>
          <w:shd w:val="clear" w:color="auto" w:fill="FFFFFF"/>
        </w:rPr>
      </w:pPr>
    </w:p>
    <w:p w14:paraId="00AC2C7C" w14:textId="77777777" w:rsidR="00A474DA" w:rsidRPr="0007414B" w:rsidRDefault="00A474DA" w:rsidP="00A474DA">
      <w:pPr>
        <w:shd w:val="clear" w:color="auto" w:fill="FFFFFF" w:themeFill="background1"/>
        <w:rPr>
          <w:rFonts w:eastAsia="Calibri Light" w:cs="Segoe UI"/>
        </w:rPr>
      </w:pPr>
      <w:r w:rsidRPr="0007414B">
        <w:rPr>
          <w:rFonts w:eastAsia="Calibri Light" w:cs="Segoe UI"/>
        </w:rPr>
        <w:t>Based on births and deaths registered from 2020 to 2022, current life expectancy is that:</w:t>
      </w:r>
    </w:p>
    <w:p w14:paraId="68332E91" w14:textId="77777777" w:rsidR="00A474DA" w:rsidRPr="0007414B" w:rsidRDefault="00A474DA" w:rsidP="00A474DA">
      <w:pPr>
        <w:pStyle w:val="Bullet"/>
      </w:pPr>
      <w:r w:rsidRPr="0007414B">
        <w:t>a newborn boy will live, on average, 80.5 years</w:t>
      </w:r>
    </w:p>
    <w:p w14:paraId="0E8E6040" w14:textId="77777777" w:rsidR="00A474DA" w:rsidRPr="0007414B" w:rsidRDefault="00A474DA" w:rsidP="00A474DA">
      <w:pPr>
        <w:pStyle w:val="Bullet"/>
      </w:pPr>
      <w:r w:rsidRPr="0007414B">
        <w:t xml:space="preserve">a newborn girl will live, on average, 84.0 years </w:t>
      </w:r>
      <w:r w:rsidRPr="0007414B">
        <w:fldChar w:fldCharType="begin"/>
      </w:r>
      <w:r>
        <w:instrText xml:space="preserve"> ADDIN EN.CITE &lt;EndNote&gt;&lt;Cite&gt;&lt;Author&gt;Stats NZ&lt;/Author&gt;&lt;Year&gt;2023&lt;/Year&gt;&lt;RecNum&gt;323&lt;/RecNum&gt;&lt;DisplayText&gt;(Stats NZ 2023a)&lt;/DisplayText&gt;&lt;record&gt;&lt;rec-number&gt;323&lt;/rec-number&gt;&lt;foreign-keys&gt;&lt;key app="EN" db-id="aaepvppzs5wtfse95vsp2wahsrtvva2vvdet" timestamp="1683260558"&gt;323&lt;/key&gt;&lt;/foreign-keys&gt;&lt;ref-type name="Web Page"&gt;12&lt;/ref-type&gt;&lt;contributors&gt;&lt;authors&gt;&lt;author&gt;Stats NZ,&lt;/author&gt;&lt;/authors&gt;&lt;/contributors&gt;&lt;titles&gt;&lt;title&gt;Births and deaths: Year ended December 2022 (including abridged period life table)&lt;/title&gt;&lt;/titles&gt;&lt;number&gt;5 May 2023&lt;/number&gt;&lt;dates&gt;&lt;year&gt;2023&lt;/year&gt;&lt;/dates&gt;&lt;urls&gt;&lt;related-urls&gt;&lt;url&gt;www.stats.govt.nz/information-releases/births-and-deaths-year-ended-december-2022-including-abridged-period-life-table/&lt;/url&gt;&lt;/related-urls&gt;&lt;/urls&gt;&lt;/record&gt;&lt;/Cite&gt;&lt;/EndNote&gt;</w:instrText>
      </w:r>
      <w:r w:rsidRPr="0007414B">
        <w:fldChar w:fldCharType="separate"/>
      </w:r>
      <w:r w:rsidRPr="0007414B">
        <w:rPr>
          <w:noProof/>
        </w:rPr>
        <w:t>(Stats NZ 2023a)</w:t>
      </w:r>
      <w:r w:rsidRPr="0007414B">
        <w:fldChar w:fldCharType="end"/>
      </w:r>
      <w:r w:rsidRPr="0007414B">
        <w:t>. </w:t>
      </w:r>
    </w:p>
    <w:p w14:paraId="339AA4AA" w14:textId="087FF441" w:rsidR="001A4831" w:rsidRDefault="001A4831" w:rsidP="001A4831">
      <w:pPr>
        <w:pStyle w:val="Heading4"/>
        <w:rPr>
          <w:rFonts w:eastAsia="Arial Unicode MS"/>
        </w:rPr>
      </w:pPr>
      <w:r w:rsidRPr="001A4831">
        <w:rPr>
          <w:rFonts w:eastAsia="Arial Unicode MS"/>
        </w:rPr>
        <w:t>Life expectancy by ethnic group</w:t>
      </w:r>
    </w:p>
    <w:p w14:paraId="7031823B" w14:textId="79E0B899" w:rsidR="00A474DA" w:rsidRPr="0007414B" w:rsidRDefault="00A474DA" w:rsidP="00A474DA">
      <w:r w:rsidRPr="0007414B">
        <w:t xml:space="preserve">Life expectancy differs by ethnic group </w:t>
      </w:r>
      <w:r w:rsidRPr="0007414B">
        <w:fldChar w:fldCharType="begin"/>
      </w:r>
      <w:r w:rsidRPr="0007414B">
        <w:instrText xml:space="preserve"> ADDIN EN.CITE &lt;EndNote&gt;&lt;Cite&gt;&lt;Author&gt;Stats NZ&lt;/Author&gt;&lt;Year&gt;2021&lt;/Year&gt;&lt;RecNum&gt;23&lt;/RecNum&gt;&lt;DisplayText&gt;(Stats NZ 2021c)&lt;/DisplayText&gt;&lt;record&gt;&lt;rec-number&gt;23&lt;/rec-number&gt;&lt;foreign-keys&gt;&lt;key app="EN" db-id="aaepvppzs5wtfse95vsp2wahsrtvva2vvdet" timestamp="1632216132"&gt;23&lt;/key&gt;&lt;/foreign-keys&gt;&lt;ref-type name="Web Page"&gt;12&lt;/ref-type&gt;&lt;contributors&gt;&lt;authors&gt;&lt;author&gt;Stats NZ,&lt;/author&gt;&lt;/authors&gt;&lt;/contributors&gt;&lt;titles&gt;&lt;title&gt;National and subnational period life tables: 2017–2019&lt;/title&gt;&lt;/titles&gt;&lt;number&gt;28 October 2022&lt;/number&gt;&lt;dates&gt;&lt;year&gt;2021&lt;/year&gt;&lt;/dates&gt;&lt;urls&gt;&lt;related-urls&gt;&lt;url&gt;www.stats.govt.nz/information-releases/national-and-subnational-period-life-tables-2017-2019&lt;/url&gt;&lt;/related-urls&gt;&lt;/urls&gt;&lt;/record&gt;&lt;/Cite&gt;&lt;/EndNote&gt;</w:instrText>
      </w:r>
      <w:r w:rsidRPr="0007414B">
        <w:fldChar w:fldCharType="separate"/>
      </w:r>
      <w:r w:rsidRPr="0007414B">
        <w:t>(Stats NZ 2021c)</w:t>
      </w:r>
      <w:r w:rsidRPr="0007414B">
        <w:fldChar w:fldCharType="end"/>
      </w:r>
      <w:r w:rsidRPr="0007414B">
        <w:t xml:space="preserve">. </w:t>
      </w:r>
      <w:r w:rsidRPr="0007414B">
        <w:fldChar w:fldCharType="begin"/>
      </w:r>
      <w:r w:rsidRPr="0007414B">
        <w:instrText xml:space="preserve"> REF _Ref131070105 \h  \* MERGEFORMAT </w:instrText>
      </w:r>
      <w:r w:rsidRPr="0007414B">
        <w:fldChar w:fldCharType="separate"/>
      </w:r>
      <w:r w:rsidR="00BE208D" w:rsidRPr="0007414B">
        <w:t xml:space="preserve">Figure </w:t>
      </w:r>
      <w:r w:rsidR="00BE208D">
        <w:t>8</w:t>
      </w:r>
      <w:r w:rsidRPr="0007414B">
        <w:fldChar w:fldCharType="end"/>
      </w:r>
      <w:r w:rsidRPr="0007414B">
        <w:t xml:space="preserve"> shows life expectancy at birth was 73.4 years for Māori males in 2017–2019 (up 3.1 years from 2005–2007) and 77.1 years for Māori females (up 2.0 years from 2005–2007). In comparison, non-Māori males were expected to live to 80.9 years, while non-Māori females were expected to live to 84.4 years </w:t>
      </w:r>
      <w:r w:rsidRPr="0007414B">
        <w:fldChar w:fldCharType="begin"/>
      </w:r>
      <w:r w:rsidRPr="0007414B">
        <w:instrText xml:space="preserve"> ADDIN EN.CITE &lt;EndNote&gt;&lt;Cite&gt;&lt;Author&gt;Stats NZ&lt;/Author&gt;&lt;Year&gt;2021&lt;/Year&gt;&lt;RecNum&gt;23&lt;/RecNum&gt;&lt;DisplayText&gt;(Stats NZ 2021c)&lt;/DisplayText&gt;&lt;record&gt;&lt;rec-number&gt;23&lt;/rec-number&gt;&lt;foreign-keys&gt;&lt;key app="EN" db-id="aaepvppzs5wtfse95vsp2wahsrtvva2vvdet" timestamp="1632216132"&gt;23&lt;/key&gt;&lt;/foreign-keys&gt;&lt;ref-type name="Web Page"&gt;12&lt;/ref-type&gt;&lt;contributors&gt;&lt;authors&gt;&lt;author&gt;Stats NZ,&lt;/author&gt;&lt;/authors&gt;&lt;/contributors&gt;&lt;titles&gt;&lt;title&gt;National and subnational period life tables: 2017–2019&lt;/title&gt;&lt;/titles&gt;&lt;number&gt;28 October 2022&lt;/number&gt;&lt;dates&gt;&lt;year&gt;2021&lt;/year&gt;&lt;/dates&gt;&lt;urls&gt;&lt;related-urls&gt;&lt;url&gt;www.stats.govt.nz/information-releases/national-and-subnational-period-life-tables-2017-2019&lt;/url&gt;&lt;/related-urls&gt;&lt;/urls&gt;&lt;/record&gt;&lt;/Cite&gt;&lt;/EndNote&gt;</w:instrText>
      </w:r>
      <w:r w:rsidRPr="0007414B">
        <w:fldChar w:fldCharType="separate"/>
      </w:r>
      <w:r w:rsidRPr="0007414B">
        <w:t>(Stats NZ 2021c)</w:t>
      </w:r>
      <w:r w:rsidRPr="0007414B">
        <w:fldChar w:fldCharType="end"/>
      </w:r>
      <w:r w:rsidRPr="0007414B">
        <w:t xml:space="preserve">. Life expectancy at birth was 75.4 years </w:t>
      </w:r>
      <w:r w:rsidRPr="0007414B">
        <w:lastRenderedPageBreak/>
        <w:t>for Pacific males and 79.0 years for Pacific females in 2017–2019. Life expectancy was highest for Asian females (87.9 years) and Asian males (85.1 years).</w:t>
      </w:r>
    </w:p>
    <w:p w14:paraId="365E04F9" w14:textId="77777777" w:rsidR="00A474DA" w:rsidRPr="0007414B" w:rsidRDefault="00A474DA" w:rsidP="00A474DA">
      <w:pPr>
        <w:shd w:val="clear" w:color="auto" w:fill="FFFFFF"/>
        <w:rPr>
          <w:rFonts w:eastAsia="Calibri Light" w:cs="Segoe UI"/>
          <w:szCs w:val="21"/>
        </w:rPr>
      </w:pPr>
    </w:p>
    <w:p w14:paraId="4FF1A1E4" w14:textId="38413394" w:rsidR="00A474DA" w:rsidRPr="0007414B" w:rsidRDefault="00A474DA" w:rsidP="00A474DA">
      <w:pPr>
        <w:pStyle w:val="Figure"/>
      </w:pPr>
      <w:bookmarkStart w:id="40" w:name="_Ref131070105"/>
      <w:bookmarkStart w:id="41" w:name="_Toc138326950"/>
      <w:bookmarkStart w:id="42" w:name="_Toc138409931"/>
      <w:r w:rsidRPr="0007414B">
        <w:t xml:space="preserve">Figure </w:t>
      </w:r>
      <w:r>
        <w:fldChar w:fldCharType="begin"/>
      </w:r>
      <w:r>
        <w:instrText>SEQ Figure \* ARABIC</w:instrText>
      </w:r>
      <w:r>
        <w:fldChar w:fldCharType="separate"/>
      </w:r>
      <w:r w:rsidR="00BE208D">
        <w:rPr>
          <w:noProof/>
        </w:rPr>
        <w:t>8</w:t>
      </w:r>
      <w:r>
        <w:fldChar w:fldCharType="end"/>
      </w:r>
      <w:bookmarkEnd w:id="40"/>
      <w:r w:rsidRPr="0007414B">
        <w:t>: Life expectancy at birth, by ethnic group and gender, 2017–2019</w:t>
      </w:r>
      <w:bookmarkEnd w:id="41"/>
      <w:bookmarkEnd w:id="42"/>
    </w:p>
    <w:p w14:paraId="03DC9514" w14:textId="77777777" w:rsidR="00A474DA" w:rsidRPr="0007414B" w:rsidRDefault="00A474DA" w:rsidP="00A474DA">
      <w:pPr>
        <w:rPr>
          <w:rFonts w:cs="Segoe UI"/>
        </w:rPr>
      </w:pPr>
      <w:r w:rsidRPr="0007414B">
        <w:rPr>
          <w:noProof/>
        </w:rPr>
        <w:drawing>
          <wp:inline distT="0" distB="0" distL="0" distR="0" wp14:anchorId="2C694515" wp14:editId="57BC359E">
            <wp:extent cx="5099539" cy="1019141"/>
            <wp:effectExtent l="0" t="0" r="6350" b="0"/>
            <wp:docPr id="1823296324" name="Picture 1823296324" descr="A timeline showing the life expectancy of sex-ethnic group combinations. The general pattern shows females have longer life expectancies than males, and the Asian ethnic group has the highest life expectancy, followed by European/other, Pacific peoples, and then Māor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4" name="Picture 1823296324" descr="A timeline showing the life expectancy of sex-ethnic group combinations. The general pattern shows females have longer life expectancies than males, and the Asian ethnic group has the highest life expectancy, followed by European/other, Pacific peoples, and then Māori.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34366" cy="1026101"/>
                    </a:xfrm>
                    <a:prstGeom prst="rect">
                      <a:avLst/>
                    </a:prstGeom>
                  </pic:spPr>
                </pic:pic>
              </a:graphicData>
            </a:graphic>
          </wp:inline>
        </w:drawing>
      </w:r>
    </w:p>
    <w:p w14:paraId="404FCD4C" w14:textId="77777777" w:rsidR="00A474DA" w:rsidRPr="00A474DA" w:rsidRDefault="00A474DA" w:rsidP="00A474DA">
      <w:pPr>
        <w:pStyle w:val="Source"/>
      </w:pPr>
      <w:r w:rsidRPr="00A474DA">
        <w:t xml:space="preserve">Source: </w:t>
      </w:r>
      <w:hyperlink r:id="rId43">
        <w:r w:rsidRPr="00A474DA">
          <w:rPr>
            <w:rStyle w:val="Hyperlink"/>
          </w:rPr>
          <w:t>Stats NZ (2021d)</w:t>
        </w:r>
      </w:hyperlink>
    </w:p>
    <w:p w14:paraId="5083BCD1" w14:textId="77777777" w:rsidR="00A474DA" w:rsidRPr="0007414B" w:rsidRDefault="00A474DA" w:rsidP="00A474DA">
      <w:pPr>
        <w:rPr>
          <w:rFonts w:cs="Segoe UI"/>
        </w:rPr>
      </w:pPr>
    </w:p>
    <w:p w14:paraId="68EF8074" w14:textId="77777777" w:rsidR="00A474DA" w:rsidRPr="0007414B" w:rsidRDefault="00A474DA" w:rsidP="00A474DA">
      <w:r w:rsidRPr="0007414B">
        <w:fldChar w:fldCharType="begin"/>
      </w:r>
      <w:r>
        <w:instrText xml:space="preserve"> ADDIN EN.CITE &lt;EndNote&gt;&lt;Cite AuthorYear="1"&gt;&lt;Author&gt;Stats NZ&lt;/Author&gt;&lt;Year&gt;2021&lt;/Year&gt;&lt;RecNum&gt;90&lt;/RecNum&gt;&lt;DisplayText&gt;Stats NZ (2021d)&lt;/DisplayText&gt;&lt;record&gt;&lt;rec-number&gt;90&lt;/rec-number&gt;&lt;foreign-keys&gt;&lt;key app="EN" db-id="aaepvppzs5wtfse95vsp2wahsrtvva2vvdet" timestamp="1632788178"&gt;90&lt;/key&gt;&lt;/foreign-keys&gt;&lt;ref-type name="Web Page"&gt;12&lt;/ref-type&gt;&lt;contributors&gt;&lt;authors&gt;&lt;author&gt;Stats NZ,&lt;/author&gt;&lt;/authors&gt;&lt;/contributors&gt;&lt;titles&gt;&lt;title&gt;National ethnic population projections: 2018(base)–2043&lt;/title&gt;&lt;/titles&gt;&lt;number&gt;5 May 2023&lt;/number&gt;&lt;dates&gt;&lt;year&gt;2021&lt;/year&gt;&lt;/dates&gt;&lt;urls&gt;&lt;related-urls&gt;&lt;url&gt;www.stats.govt.nz/information-releases/national-ethnic-population-projections-2018base-2043&lt;/url&gt;&lt;/related-urls&gt;&lt;/urls&gt;&lt;/record&gt;&lt;/Cite&gt;&lt;/EndNote&gt;</w:instrText>
      </w:r>
      <w:r w:rsidRPr="0007414B">
        <w:fldChar w:fldCharType="separate"/>
      </w:r>
      <w:r>
        <w:rPr>
          <w:noProof/>
        </w:rPr>
        <w:t>Stats NZ (2021d)</w:t>
      </w:r>
      <w:r w:rsidRPr="0007414B">
        <w:fldChar w:fldCharType="end"/>
      </w:r>
      <w:r>
        <w:t xml:space="preserve"> </w:t>
      </w:r>
      <w:r w:rsidRPr="74BD09DF">
        <w:rPr>
          <w:rFonts w:asciiTheme="minorHAnsi" w:eastAsiaTheme="minorEastAsia" w:hAnsiTheme="minorHAnsi" w:cstheme="minorBidi"/>
        </w:rPr>
        <w:t xml:space="preserve">projects that </w:t>
      </w:r>
      <w:r w:rsidRPr="0007414B">
        <w:t>life expectancy will continue to rise for all combinations of ethnic and gender groups. However, it projects the largest rises between 2021 and 2043 will be for Māori and Pacific peoples.</w:t>
      </w:r>
    </w:p>
    <w:p w14:paraId="7B7D9168" w14:textId="6A61E4B5" w:rsidR="001A4831" w:rsidRDefault="001A4831" w:rsidP="001A4831">
      <w:pPr>
        <w:pStyle w:val="Heading4"/>
        <w:rPr>
          <w:rFonts w:eastAsia="Arial Unicode MS"/>
        </w:rPr>
      </w:pPr>
      <w:r w:rsidRPr="001A4831">
        <w:rPr>
          <w:rFonts w:eastAsia="Arial Unicode MS"/>
        </w:rPr>
        <w:t>Life expectancy by deprivation</w:t>
      </w:r>
    </w:p>
    <w:p w14:paraId="31292210" w14:textId="7B6F8151" w:rsidR="00A474DA" w:rsidRPr="0007414B" w:rsidRDefault="00A474DA" w:rsidP="00A474DA">
      <w:pPr>
        <w:pStyle w:val="paragraph"/>
        <w:spacing w:before="0" w:beforeAutospacing="0" w:after="0" w:afterAutospacing="0"/>
        <w:textAlignment w:val="baseline"/>
        <w:rPr>
          <w:rFonts w:ascii="Segoe UI" w:eastAsia="Calibri Light" w:hAnsi="Segoe UI" w:cs="Segoe UI"/>
          <w:sz w:val="21"/>
          <w:szCs w:val="21"/>
          <w:lang w:eastAsia="en-GB"/>
        </w:rPr>
      </w:pPr>
      <w:r w:rsidRPr="0007414B">
        <w:rPr>
          <w:rFonts w:ascii="Segoe UI" w:eastAsia="Calibri Light" w:hAnsi="Segoe UI" w:cs="Segoe UI"/>
          <w:sz w:val="21"/>
          <w:szCs w:val="21"/>
          <w:lang w:eastAsia="en-GB"/>
        </w:rPr>
        <w:t xml:space="preserve">Life expectancy varies by around 10 years between people living in the least deprived areas (quintile 1) and those living in the most deprived areas (quintile 5) of Aotearoa New Zealand </w:t>
      </w:r>
      <w:r w:rsidRPr="0007414B">
        <w:rPr>
          <w:rFonts w:ascii="Segoe UI" w:eastAsia="Calibri Light" w:hAnsi="Segoe UI" w:cs="Segoe UI"/>
          <w:sz w:val="21"/>
          <w:szCs w:val="21"/>
          <w:lang w:eastAsia="en-GB"/>
        </w:rPr>
        <w:fldChar w:fldCharType="begin"/>
      </w:r>
      <w:r>
        <w:rPr>
          <w:rFonts w:ascii="Segoe UI" w:eastAsia="Calibri Light" w:hAnsi="Segoe UI" w:cs="Segoe UI"/>
          <w:sz w:val="21"/>
          <w:szCs w:val="21"/>
          <w:lang w:eastAsia="en-GB"/>
        </w:rPr>
        <w:instrText xml:space="preserve"> ADDIN EN.CITE &lt;EndNote&gt;&lt;Cite&gt;&lt;Author&gt;Stats NZ&lt;/Author&gt;&lt;Year&gt;2021&lt;/Year&gt;&lt;RecNum&gt;339&lt;/RecNum&gt;&lt;DisplayText&gt;(Stats NZ 2021b)&lt;/DisplayText&gt;&lt;record&gt;&lt;rec-number&gt;339&lt;/rec-number&gt;&lt;foreign-keys&gt;&lt;key app="EN" db-id="aaepvppzs5wtfse95vsp2wahsrtvva2vvdet" timestamp="1683623567"&gt;339&lt;/key&gt;&lt;/foreign-keys&gt;&lt;ref-type name="Web Page"&gt;12&lt;/ref-type&gt;&lt;contributors&gt;&lt;authors&gt;&lt;author&gt;Stats NZ,&lt;/author&gt;&lt;/authors&gt;&lt;/contributors&gt;&lt;titles&gt;&lt;title&gt;Growth in life expectancy slows&lt;/title&gt;&lt;/titles&gt;&lt;number&gt;8 May 2023&lt;/number&gt;&lt;dates&gt;&lt;year&gt;2021&lt;/year&gt;&lt;/dates&gt;&lt;urls&gt;&lt;related-urls&gt;&lt;url&gt;www.stats.govt.nz/news/growth-in-life-expectancy-slows/&lt;/url&gt;&lt;/related-urls&gt;&lt;/urls&gt;&lt;/record&gt;&lt;/Cite&gt;&lt;/EndNote&gt;</w:instrText>
      </w:r>
      <w:r w:rsidRPr="0007414B">
        <w:rPr>
          <w:rFonts w:ascii="Segoe UI" w:eastAsia="Calibri Light" w:hAnsi="Segoe UI" w:cs="Segoe UI"/>
          <w:sz w:val="21"/>
          <w:szCs w:val="21"/>
          <w:lang w:eastAsia="en-GB"/>
        </w:rPr>
        <w:fldChar w:fldCharType="separate"/>
      </w:r>
      <w:r w:rsidRPr="0007414B">
        <w:rPr>
          <w:rFonts w:ascii="Segoe UI" w:eastAsia="Calibri Light" w:hAnsi="Segoe UI" w:cs="Segoe UI"/>
          <w:noProof/>
          <w:sz w:val="21"/>
          <w:szCs w:val="21"/>
          <w:lang w:eastAsia="en-GB"/>
        </w:rPr>
        <w:t>(Stats NZ 2021b)</w:t>
      </w:r>
      <w:r w:rsidRPr="0007414B">
        <w:rPr>
          <w:rFonts w:ascii="Segoe UI" w:eastAsia="Calibri Light" w:hAnsi="Segoe UI" w:cs="Segoe UI"/>
          <w:sz w:val="21"/>
          <w:szCs w:val="21"/>
          <w:lang w:eastAsia="en-GB"/>
        </w:rPr>
        <w:fldChar w:fldCharType="end"/>
      </w:r>
      <w:r w:rsidRPr="0007414B">
        <w:rPr>
          <w:rFonts w:ascii="Segoe UI" w:eastAsia="Calibri Light" w:hAnsi="Segoe UI" w:cs="Segoe UI"/>
          <w:sz w:val="21"/>
          <w:szCs w:val="21"/>
          <w:lang w:eastAsia="en-GB"/>
        </w:rPr>
        <w:t xml:space="preserve">. </w:t>
      </w:r>
      <w:r w:rsidRPr="0007414B">
        <w:rPr>
          <w:rFonts w:ascii="Segoe UI" w:eastAsia="Calibri Light" w:hAnsi="Segoe UI" w:cs="Segoe UI"/>
          <w:sz w:val="21"/>
          <w:szCs w:val="21"/>
          <w:lang w:eastAsia="en-GB"/>
        </w:rPr>
        <w:fldChar w:fldCharType="begin"/>
      </w:r>
      <w:r w:rsidRPr="0007414B">
        <w:rPr>
          <w:rFonts w:ascii="Segoe UI" w:eastAsia="Calibri Light" w:hAnsi="Segoe UI" w:cs="Segoe UI"/>
          <w:sz w:val="21"/>
          <w:szCs w:val="21"/>
          <w:lang w:eastAsia="en-GB"/>
        </w:rPr>
        <w:instrText xml:space="preserve"> REF _Ref131070077 \h  \* MERGEFORMAT </w:instrText>
      </w:r>
      <w:r w:rsidRPr="0007414B">
        <w:rPr>
          <w:rFonts w:ascii="Segoe UI" w:eastAsia="Calibri Light" w:hAnsi="Segoe UI" w:cs="Segoe UI"/>
          <w:sz w:val="21"/>
          <w:szCs w:val="21"/>
          <w:lang w:eastAsia="en-GB"/>
        </w:rPr>
      </w:r>
      <w:r w:rsidRPr="0007414B">
        <w:rPr>
          <w:rFonts w:ascii="Segoe UI" w:eastAsia="Calibri Light" w:hAnsi="Segoe UI" w:cs="Segoe UI"/>
          <w:sz w:val="21"/>
          <w:szCs w:val="21"/>
          <w:lang w:eastAsia="en-GB"/>
        </w:rPr>
        <w:fldChar w:fldCharType="separate"/>
      </w:r>
      <w:r w:rsidR="00BE208D" w:rsidRPr="00BE208D">
        <w:rPr>
          <w:rFonts w:ascii="Segoe UI" w:hAnsi="Segoe UI" w:cs="Segoe UI"/>
          <w:sz w:val="21"/>
          <w:szCs w:val="21"/>
        </w:rPr>
        <w:t>Figure 9</w:t>
      </w:r>
      <w:r w:rsidRPr="0007414B">
        <w:rPr>
          <w:rFonts w:ascii="Segoe UI" w:eastAsia="Calibri Light" w:hAnsi="Segoe UI" w:cs="Segoe UI"/>
          <w:sz w:val="21"/>
          <w:szCs w:val="21"/>
          <w:lang w:eastAsia="en-GB"/>
        </w:rPr>
        <w:fldChar w:fldCharType="end"/>
      </w:r>
      <w:r w:rsidRPr="0007414B">
        <w:rPr>
          <w:rFonts w:ascii="Segoe UI" w:eastAsia="Calibri Light" w:hAnsi="Segoe UI" w:cs="Segoe UI"/>
          <w:sz w:val="21"/>
          <w:szCs w:val="21"/>
          <w:lang w:eastAsia="en-GB"/>
        </w:rPr>
        <w:t xml:space="preserve"> presents life expectancy at birth for the 2017–2019 period. Life expectancy for people living in the most deprived areas was 75.4 years for males and 79.8 years for females. In comparison, for those living in the least deprived areas, life expectancy was 84.1 years for males and 86.9 years </w:t>
      </w:r>
      <w:r w:rsidRPr="0007414B" w:rsidDel="00453083">
        <w:rPr>
          <w:rFonts w:ascii="Segoe UI" w:eastAsia="Calibri Light" w:hAnsi="Segoe UI" w:cs="Segoe UI"/>
          <w:sz w:val="21"/>
          <w:szCs w:val="21"/>
          <w:lang w:eastAsia="en-GB"/>
        </w:rPr>
        <w:t xml:space="preserve">for </w:t>
      </w:r>
      <w:r w:rsidRPr="0007414B">
        <w:rPr>
          <w:rFonts w:ascii="Segoe UI" w:eastAsia="Calibri Light" w:hAnsi="Segoe UI" w:cs="Segoe UI"/>
          <w:sz w:val="21"/>
          <w:szCs w:val="21"/>
          <w:lang w:eastAsia="en-GB"/>
        </w:rPr>
        <w:t>females.</w:t>
      </w:r>
    </w:p>
    <w:p w14:paraId="120C9A8E" w14:textId="1279A67F" w:rsidR="00A474DA" w:rsidRPr="0007414B" w:rsidRDefault="00A474DA" w:rsidP="004B1165"/>
    <w:p w14:paraId="0891EBCB" w14:textId="76E3D385" w:rsidR="00A474DA" w:rsidRPr="0007414B" w:rsidRDefault="00A474DA" w:rsidP="00A474DA">
      <w:pPr>
        <w:pStyle w:val="Figure"/>
      </w:pPr>
      <w:bookmarkStart w:id="43" w:name="_Ref131070077"/>
      <w:bookmarkStart w:id="44" w:name="_Toc138326951"/>
      <w:bookmarkStart w:id="45" w:name="_Toc138409932"/>
      <w:r w:rsidRPr="0007414B">
        <w:t xml:space="preserve">Figure </w:t>
      </w:r>
      <w:r>
        <w:fldChar w:fldCharType="begin"/>
      </w:r>
      <w:r>
        <w:instrText>SEQ Figure \* ARABIC</w:instrText>
      </w:r>
      <w:r>
        <w:fldChar w:fldCharType="separate"/>
      </w:r>
      <w:r w:rsidR="00BE208D">
        <w:rPr>
          <w:noProof/>
        </w:rPr>
        <w:t>9</w:t>
      </w:r>
      <w:r>
        <w:fldChar w:fldCharType="end"/>
      </w:r>
      <w:bookmarkEnd w:id="43"/>
      <w:r w:rsidRPr="0007414B">
        <w:t>: Life expectancy at birth, by deprivation quintile (NZDep2018) and gender, 2017–2019</w:t>
      </w:r>
      <w:bookmarkEnd w:id="44"/>
      <w:bookmarkEnd w:id="45"/>
    </w:p>
    <w:p w14:paraId="610F72AE" w14:textId="77777777" w:rsidR="00A474DA" w:rsidRPr="0007414B" w:rsidRDefault="00A474DA" w:rsidP="00A474DA">
      <w:pPr>
        <w:pStyle w:val="paragraph"/>
        <w:spacing w:before="0" w:beforeAutospacing="0" w:after="0" w:afterAutospacing="0"/>
        <w:textAlignment w:val="baseline"/>
        <w:rPr>
          <w:rFonts w:ascii="Segoe UI" w:eastAsia="Calibri Light" w:hAnsi="Segoe UI" w:cs="Segoe UI"/>
          <w:sz w:val="20"/>
          <w:szCs w:val="20"/>
          <w:lang w:eastAsia="en-GB"/>
        </w:rPr>
      </w:pPr>
      <w:r w:rsidRPr="0007414B">
        <w:rPr>
          <w:noProof/>
        </w:rPr>
        <w:drawing>
          <wp:inline distT="0" distB="0" distL="0" distR="0" wp14:anchorId="6E5A0977" wp14:editId="7A4D20B5">
            <wp:extent cx="5099050" cy="1912385"/>
            <wp:effectExtent l="0" t="0" r="0" b="0"/>
            <wp:docPr id="1823296325" name="Picture 1823296325" descr="A series of two timelines showing life expectancy by sex (male-female) and deprivation (NZDep2018). The timelines show that overall, less deprived populations have longer life expectancies compared to more deprived populations. In addition, the female population has a longer life expectancy compared the male population with the same level of depri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5" name="Picture 1823296325" descr="A series of two timelines showing life expectancy by sex (male-female) and deprivation (NZDep2018). The timelines show that overall, less deprived populations have longer life expectancies compared to more deprived populations. In addition, the female population has a longer life expectancy compared the male population with the same level of deprivation.&#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09995" cy="1916490"/>
                    </a:xfrm>
                    <a:prstGeom prst="rect">
                      <a:avLst/>
                    </a:prstGeom>
                  </pic:spPr>
                </pic:pic>
              </a:graphicData>
            </a:graphic>
          </wp:inline>
        </w:drawing>
      </w:r>
    </w:p>
    <w:p w14:paraId="28AF764C" w14:textId="77777777" w:rsidR="00A474DA" w:rsidRPr="00A474DA" w:rsidRDefault="00A474DA" w:rsidP="00A474DA">
      <w:pPr>
        <w:pStyle w:val="Source"/>
      </w:pPr>
      <w:r w:rsidRPr="00A474DA">
        <w:t xml:space="preserve">Source: </w:t>
      </w:r>
      <w:hyperlink r:id="rId45">
        <w:r w:rsidRPr="00A474DA">
          <w:rPr>
            <w:rStyle w:val="Hyperlink"/>
          </w:rPr>
          <w:t>Stats NZ (2021c)</w:t>
        </w:r>
      </w:hyperlink>
    </w:p>
    <w:p w14:paraId="47B6BAC4" w14:textId="72F82E81" w:rsidR="001A4831" w:rsidRDefault="001A4831" w:rsidP="001A4831">
      <w:pPr>
        <w:pStyle w:val="Heading3"/>
        <w:rPr>
          <w:rFonts w:eastAsia="Arial Unicode MS"/>
        </w:rPr>
      </w:pPr>
      <w:r w:rsidRPr="001A4831">
        <w:rPr>
          <w:rFonts w:eastAsia="Arial Unicode MS"/>
        </w:rPr>
        <w:t>Mortality</w:t>
      </w:r>
    </w:p>
    <w:p w14:paraId="1721810A" w14:textId="77777777" w:rsidR="00D23483" w:rsidRPr="0007414B" w:rsidRDefault="00464876" w:rsidP="00D23483">
      <w:pPr>
        <w:rPr>
          <w:rFonts w:eastAsia="Calibri Light" w:cs="Segoe UI"/>
        </w:rPr>
      </w:pPr>
      <w:hyperlink r:id="rId46" w:history="1">
        <w:r w:rsidR="00D23483" w:rsidRPr="0007414B">
          <w:rPr>
            <w:rStyle w:val="Hyperlink"/>
            <w:rFonts w:eastAsiaTheme="minorEastAsia" w:cs="Segoe UI"/>
          </w:rPr>
          <w:t>Te Whatu Ora’s mortality web tool</w:t>
        </w:r>
      </w:hyperlink>
      <w:r w:rsidR="00D23483" w:rsidRPr="0007414B">
        <w:rPr>
          <w:rFonts w:eastAsiaTheme="minorEastAsia" w:cs="Segoe UI"/>
          <w:color w:val="000000" w:themeColor="text1"/>
        </w:rPr>
        <w:t xml:space="preserve"> presents mortality data for selected causes of death registered in Aotearoa New Zealand </w:t>
      </w:r>
      <w:r w:rsidR="00D23483" w:rsidRPr="0007414B">
        <w:rPr>
          <w:rFonts w:cs="Segoe UI"/>
        </w:rPr>
        <w:fldChar w:fldCharType="begin"/>
      </w:r>
      <w:r w:rsidR="00D23483" w:rsidRPr="0007414B">
        <w:rPr>
          <w:rFonts w:cs="Segoe UI"/>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00D23483" w:rsidRPr="0007414B">
        <w:rPr>
          <w:rFonts w:cs="Segoe UI"/>
        </w:rPr>
        <w:fldChar w:fldCharType="separate"/>
      </w:r>
      <w:r w:rsidR="00D23483" w:rsidRPr="0007414B">
        <w:rPr>
          <w:rFonts w:cs="Segoe UI"/>
        </w:rPr>
        <w:t>(Te Whatu Ora 2023h)</w:t>
      </w:r>
      <w:r w:rsidR="00D23483" w:rsidRPr="0007414B">
        <w:rPr>
          <w:rFonts w:cs="Segoe UI"/>
        </w:rPr>
        <w:fldChar w:fldCharType="end"/>
      </w:r>
      <w:r w:rsidR="00D23483" w:rsidRPr="0007414B">
        <w:rPr>
          <w:rFonts w:eastAsia="Calibri Light" w:cs="Segoe UI"/>
        </w:rPr>
        <w:t xml:space="preserve">. </w:t>
      </w:r>
      <w:r w:rsidR="00D23483" w:rsidRPr="0007414B">
        <w:rPr>
          <w:rFonts w:cs="Segoe UI"/>
        </w:rPr>
        <w:t>This mortality data includes cause of death, which can involve a coroner investigation. For this reason, only data to 2018 is final. Data for 2019 and 2020 is preliminary, as some cases remain under investigation by the coroner</w:t>
      </w:r>
      <w:r w:rsidR="00D23483" w:rsidRPr="0007414B">
        <w:rPr>
          <w:rFonts w:cs="Segoe UI"/>
          <w:color w:val="333333"/>
          <w:shd w:val="clear" w:color="auto" w:fill="FFFFFF"/>
        </w:rPr>
        <w:t>.</w:t>
      </w:r>
      <w:r w:rsidR="00D23483" w:rsidRPr="0007414B">
        <w:rPr>
          <w:rFonts w:eastAsia="Calibri Light" w:cs="Segoe UI"/>
        </w:rPr>
        <w:t xml:space="preserve"> </w:t>
      </w:r>
    </w:p>
    <w:p w14:paraId="7B6028C2" w14:textId="6755A24F" w:rsidR="00D23483" w:rsidRDefault="00D23483" w:rsidP="00D23483">
      <w:pPr>
        <w:rPr>
          <w:rFonts w:eastAsia="Calibri Light" w:cs="Segoe UI"/>
          <w:szCs w:val="21"/>
        </w:rPr>
      </w:pPr>
    </w:p>
    <w:p w14:paraId="5B4099AC" w14:textId="77777777" w:rsidR="00D23483" w:rsidRPr="0007414B" w:rsidRDefault="00D23483" w:rsidP="00D23483">
      <w:pPr>
        <w:rPr>
          <w:rFonts w:eastAsia="Calibri Light" w:cs="Segoe UI"/>
          <w:szCs w:val="21"/>
        </w:rPr>
      </w:pPr>
    </w:p>
    <w:p w14:paraId="3308894C" w14:textId="77777777" w:rsidR="00D23483" w:rsidRPr="0007414B" w:rsidRDefault="00D23483" w:rsidP="00D23483">
      <w:pPr>
        <w:rPr>
          <w:rFonts w:eastAsia="Calibri Light" w:cs="Segoe UI"/>
        </w:rPr>
      </w:pPr>
      <w:r w:rsidRPr="0007414B">
        <w:rPr>
          <w:rFonts w:eastAsia="Calibri Light" w:cs="Segoe UI"/>
        </w:rPr>
        <w:lastRenderedPageBreak/>
        <w:t>The following trends in mortality are evident.</w:t>
      </w:r>
    </w:p>
    <w:p w14:paraId="6987F4F6" w14:textId="77777777" w:rsidR="00D23483" w:rsidRPr="0007414B" w:rsidRDefault="00D23483" w:rsidP="00D23483">
      <w:pPr>
        <w:pStyle w:val="Bullet"/>
      </w:pPr>
      <w:r w:rsidRPr="0007414B">
        <w:t>While the number of deaths has increased with the growing and ageing population, the mortality rate has decreased over time, from 982 deaths per 100,000 population in 1948 to 370 deaths per 100,000 in 2018.</w:t>
      </w:r>
    </w:p>
    <w:p w14:paraId="1FCD5EBB" w14:textId="77777777" w:rsidR="00D23483" w:rsidRPr="0007414B" w:rsidRDefault="00D23483" w:rsidP="00D23483">
      <w:pPr>
        <w:pStyle w:val="Bullet"/>
      </w:pPr>
      <w:r w:rsidRPr="0007414B">
        <w:t>The mortality rate has been consistently higher for males than females and the difference between them has increased over time.</w:t>
      </w:r>
    </w:p>
    <w:p w14:paraId="24B7EBD9" w14:textId="77777777" w:rsidR="00D23483" w:rsidRPr="0007414B" w:rsidRDefault="00D23483" w:rsidP="00D23483">
      <w:pPr>
        <w:pStyle w:val="Bullet"/>
      </w:pPr>
      <w:r w:rsidRPr="0007414B">
        <w:t>Mortality rates for Māori have been generally higher than rates for non-Māori. This trend is consistent for Māori males and Māori females compared with their non-Māori counterparts.</w:t>
      </w:r>
    </w:p>
    <w:p w14:paraId="361D029A" w14:textId="77777777" w:rsidR="00D23483" w:rsidRPr="00D23483" w:rsidRDefault="00D23483" w:rsidP="00D23483">
      <w:pPr>
        <w:rPr>
          <w:rFonts w:eastAsia="Arial Unicode MS"/>
        </w:rPr>
      </w:pPr>
    </w:p>
    <w:p w14:paraId="460B73F3" w14:textId="284A8E2B" w:rsidR="00D23483" w:rsidRPr="0007414B" w:rsidRDefault="00034F2D" w:rsidP="00D23483">
      <w:r>
        <w:fldChar w:fldCharType="begin"/>
      </w:r>
      <w:r>
        <w:instrText xml:space="preserve"> REF _Ref138408018 \h </w:instrText>
      </w:r>
      <w:r>
        <w:fldChar w:fldCharType="separate"/>
      </w:r>
      <w:r w:rsidR="00BE208D">
        <w:t xml:space="preserve">Table </w:t>
      </w:r>
      <w:r w:rsidR="00BE208D">
        <w:rPr>
          <w:noProof/>
        </w:rPr>
        <w:t>2</w:t>
      </w:r>
      <w:r>
        <w:fldChar w:fldCharType="end"/>
      </w:r>
      <w:r>
        <w:t xml:space="preserve"> shows </w:t>
      </w:r>
      <w:r w:rsidR="00D23483" w:rsidRPr="0007414B">
        <w:t>the number of deaths in 2020 (the most recent data available) for Māori and non-Māori and by gender. It also compares the rate of deaths, per 100,000 people, for these groups.</w:t>
      </w:r>
    </w:p>
    <w:p w14:paraId="725EA91F" w14:textId="348AEE84" w:rsidR="001A4831" w:rsidRDefault="001A4831" w:rsidP="001A4831">
      <w:pPr>
        <w:rPr>
          <w:rFonts w:eastAsia="Arial Unicode MS"/>
        </w:rPr>
      </w:pPr>
    </w:p>
    <w:p w14:paraId="3A04B567" w14:textId="45AF620E" w:rsidR="001A4831" w:rsidRDefault="001A4831" w:rsidP="001A4831">
      <w:pPr>
        <w:pStyle w:val="Table"/>
        <w:rPr>
          <w:rFonts w:eastAsia="Arial Unicode MS"/>
        </w:rPr>
      </w:pPr>
      <w:bookmarkStart w:id="46" w:name="_Ref138408018"/>
      <w:bookmarkStart w:id="47" w:name="_Toc138409978"/>
      <w:r>
        <w:t xml:space="preserve">Table </w:t>
      </w:r>
      <w:fldSimple w:instr=" SEQ Table \* ARABIC ">
        <w:r w:rsidR="00BE208D">
          <w:rPr>
            <w:noProof/>
          </w:rPr>
          <w:t>2</w:t>
        </w:r>
      </w:fldSimple>
      <w:bookmarkEnd w:id="46"/>
      <w:r>
        <w:t xml:space="preserve">: </w:t>
      </w:r>
      <w:r w:rsidRPr="001A4831">
        <w:rPr>
          <w:rFonts w:eastAsia="Arial Unicode MS"/>
        </w:rPr>
        <w:t>Number and rate of deaths, Māori and non-Māori and by gender, 2020</w:t>
      </w:r>
      <w:bookmarkEnd w:id="47"/>
    </w:p>
    <w:tbl>
      <w:tblPr>
        <w:tblStyle w:val="TableGrid"/>
        <w:tblW w:w="821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38"/>
        <w:gridCol w:w="1063"/>
        <w:gridCol w:w="1063"/>
        <w:gridCol w:w="1063"/>
        <w:gridCol w:w="1063"/>
        <w:gridCol w:w="1063"/>
        <w:gridCol w:w="1064"/>
      </w:tblGrid>
      <w:tr w:rsidR="001A4831" w14:paraId="526FE5B9" w14:textId="77777777" w:rsidTr="001A4831">
        <w:tc>
          <w:tcPr>
            <w:tcW w:w="1838" w:type="dxa"/>
            <w:vMerge w:val="restart"/>
            <w:tcBorders>
              <w:top w:val="nil"/>
              <w:bottom w:val="nil"/>
            </w:tcBorders>
            <w:shd w:val="clear" w:color="auto" w:fill="D9D9D9" w:themeFill="background1" w:themeFillShade="D9"/>
            <w:vAlign w:val="center"/>
          </w:tcPr>
          <w:p w14:paraId="42C6931C" w14:textId="3769EF4A" w:rsidR="001A4831" w:rsidRPr="001A4831" w:rsidRDefault="001A4831" w:rsidP="001A4831">
            <w:pPr>
              <w:pStyle w:val="TableText"/>
              <w:rPr>
                <w:rFonts w:eastAsia="Arial Unicode MS"/>
                <w:b/>
                <w:bCs/>
              </w:rPr>
            </w:pPr>
            <w:r w:rsidRPr="001A4831">
              <w:rPr>
                <w:rFonts w:eastAsia="Arial Unicode MS"/>
                <w:b/>
                <w:bCs/>
              </w:rPr>
              <w:t>Ethnic group</w:t>
            </w:r>
          </w:p>
        </w:tc>
        <w:tc>
          <w:tcPr>
            <w:tcW w:w="3189" w:type="dxa"/>
            <w:gridSpan w:val="3"/>
            <w:tcBorders>
              <w:bottom w:val="single" w:sz="4" w:space="0" w:color="A6A6A6" w:themeColor="background1" w:themeShade="A6"/>
            </w:tcBorders>
            <w:shd w:val="clear" w:color="auto" w:fill="D9D9D9" w:themeFill="background1" w:themeFillShade="D9"/>
            <w:vAlign w:val="center"/>
          </w:tcPr>
          <w:p w14:paraId="0F5D143B" w14:textId="5B71C16C" w:rsidR="001A4831" w:rsidRPr="001A4831" w:rsidRDefault="001A4831" w:rsidP="00D23483">
            <w:pPr>
              <w:pStyle w:val="TableText"/>
              <w:jc w:val="center"/>
              <w:rPr>
                <w:b/>
                <w:bCs/>
              </w:rPr>
            </w:pPr>
            <w:r w:rsidRPr="001A4831">
              <w:rPr>
                <w:b/>
                <w:bCs/>
              </w:rPr>
              <w:t>Number of deaths 2020</w:t>
            </w:r>
          </w:p>
        </w:tc>
        <w:tc>
          <w:tcPr>
            <w:tcW w:w="3190" w:type="dxa"/>
            <w:gridSpan w:val="3"/>
            <w:tcBorders>
              <w:bottom w:val="single" w:sz="4" w:space="0" w:color="A6A6A6" w:themeColor="background1" w:themeShade="A6"/>
            </w:tcBorders>
            <w:shd w:val="clear" w:color="auto" w:fill="D9D9D9" w:themeFill="background1" w:themeFillShade="D9"/>
            <w:vAlign w:val="center"/>
          </w:tcPr>
          <w:p w14:paraId="565AC935" w14:textId="440E5F7C" w:rsidR="001A4831" w:rsidRPr="001A4831" w:rsidRDefault="001A4831" w:rsidP="00D23483">
            <w:pPr>
              <w:pStyle w:val="TableText"/>
              <w:jc w:val="center"/>
              <w:rPr>
                <w:b/>
                <w:bCs/>
              </w:rPr>
            </w:pPr>
            <w:r w:rsidRPr="001A4831">
              <w:rPr>
                <w:b/>
                <w:bCs/>
              </w:rPr>
              <w:t xml:space="preserve">Mortality rate </w:t>
            </w:r>
            <w:r w:rsidRPr="001A4831">
              <w:rPr>
                <w:b/>
                <w:bCs/>
              </w:rPr>
              <w:br/>
              <w:t>(per 100,000 population)</w:t>
            </w:r>
          </w:p>
        </w:tc>
      </w:tr>
      <w:tr w:rsidR="001A4831" w14:paraId="4D2112DC" w14:textId="77777777" w:rsidTr="001A4831">
        <w:tc>
          <w:tcPr>
            <w:tcW w:w="1838" w:type="dxa"/>
            <w:vMerge/>
            <w:tcBorders>
              <w:top w:val="single" w:sz="4" w:space="0" w:color="A6A6A6" w:themeColor="background1" w:themeShade="A6"/>
              <w:bottom w:val="nil"/>
            </w:tcBorders>
            <w:shd w:val="clear" w:color="auto" w:fill="D9D9D9" w:themeFill="background1" w:themeFillShade="D9"/>
          </w:tcPr>
          <w:p w14:paraId="42AE9486" w14:textId="77777777" w:rsidR="001A4831" w:rsidRDefault="001A4831" w:rsidP="001A4831">
            <w:pPr>
              <w:rPr>
                <w:rFonts w:eastAsia="Arial Unicode MS"/>
              </w:rPr>
            </w:pPr>
          </w:p>
        </w:tc>
        <w:tc>
          <w:tcPr>
            <w:tcW w:w="1063" w:type="dxa"/>
            <w:tcBorders>
              <w:top w:val="single" w:sz="4" w:space="0" w:color="A6A6A6" w:themeColor="background1" w:themeShade="A6"/>
              <w:bottom w:val="nil"/>
            </w:tcBorders>
            <w:shd w:val="clear" w:color="auto" w:fill="D9D9D9" w:themeFill="background1" w:themeFillShade="D9"/>
          </w:tcPr>
          <w:p w14:paraId="3E84BFA2" w14:textId="6F9DE398" w:rsidR="001A4831" w:rsidRPr="001A4831" w:rsidRDefault="001A4831" w:rsidP="001A4831">
            <w:pPr>
              <w:pStyle w:val="TableText"/>
              <w:rPr>
                <w:rFonts w:eastAsia="Arial Unicode MS"/>
                <w:b/>
                <w:bCs/>
              </w:rPr>
            </w:pPr>
            <w:r w:rsidRPr="001A4831">
              <w:rPr>
                <w:b/>
                <w:bCs/>
              </w:rPr>
              <w:t>Total</w:t>
            </w:r>
          </w:p>
        </w:tc>
        <w:tc>
          <w:tcPr>
            <w:tcW w:w="1063" w:type="dxa"/>
            <w:tcBorders>
              <w:top w:val="single" w:sz="4" w:space="0" w:color="A6A6A6" w:themeColor="background1" w:themeShade="A6"/>
              <w:bottom w:val="nil"/>
            </w:tcBorders>
            <w:shd w:val="clear" w:color="auto" w:fill="D9D9D9" w:themeFill="background1" w:themeFillShade="D9"/>
          </w:tcPr>
          <w:p w14:paraId="05B8735C" w14:textId="17313C53" w:rsidR="001A4831" w:rsidRPr="001A4831" w:rsidRDefault="001A4831" w:rsidP="001A4831">
            <w:pPr>
              <w:pStyle w:val="TableText"/>
              <w:rPr>
                <w:rFonts w:eastAsia="Arial Unicode MS"/>
                <w:b/>
                <w:bCs/>
              </w:rPr>
            </w:pPr>
            <w:r w:rsidRPr="001A4831">
              <w:rPr>
                <w:b/>
                <w:bCs/>
              </w:rPr>
              <w:t>Female</w:t>
            </w:r>
          </w:p>
        </w:tc>
        <w:tc>
          <w:tcPr>
            <w:tcW w:w="1063" w:type="dxa"/>
            <w:tcBorders>
              <w:top w:val="single" w:sz="4" w:space="0" w:color="A6A6A6" w:themeColor="background1" w:themeShade="A6"/>
              <w:bottom w:val="nil"/>
            </w:tcBorders>
            <w:shd w:val="clear" w:color="auto" w:fill="D9D9D9" w:themeFill="background1" w:themeFillShade="D9"/>
          </w:tcPr>
          <w:p w14:paraId="102E4B2B" w14:textId="56E40A9A" w:rsidR="001A4831" w:rsidRPr="001A4831" w:rsidRDefault="001A4831" w:rsidP="001A4831">
            <w:pPr>
              <w:pStyle w:val="TableText"/>
              <w:rPr>
                <w:rFonts w:eastAsia="Arial Unicode MS"/>
                <w:b/>
                <w:bCs/>
              </w:rPr>
            </w:pPr>
            <w:r w:rsidRPr="001A4831">
              <w:rPr>
                <w:b/>
                <w:bCs/>
              </w:rPr>
              <w:t>Male</w:t>
            </w:r>
          </w:p>
        </w:tc>
        <w:tc>
          <w:tcPr>
            <w:tcW w:w="1063" w:type="dxa"/>
            <w:tcBorders>
              <w:top w:val="single" w:sz="4" w:space="0" w:color="A6A6A6" w:themeColor="background1" w:themeShade="A6"/>
              <w:bottom w:val="nil"/>
            </w:tcBorders>
            <w:shd w:val="clear" w:color="auto" w:fill="D9D9D9" w:themeFill="background1" w:themeFillShade="D9"/>
          </w:tcPr>
          <w:p w14:paraId="5B0673AE" w14:textId="0577969B" w:rsidR="001A4831" w:rsidRPr="001A4831" w:rsidRDefault="001A4831" w:rsidP="001A4831">
            <w:pPr>
              <w:pStyle w:val="TableText"/>
              <w:rPr>
                <w:rFonts w:eastAsia="Arial Unicode MS"/>
                <w:b/>
                <w:bCs/>
              </w:rPr>
            </w:pPr>
            <w:r w:rsidRPr="001A4831">
              <w:rPr>
                <w:b/>
                <w:bCs/>
              </w:rPr>
              <w:t>Total</w:t>
            </w:r>
          </w:p>
        </w:tc>
        <w:tc>
          <w:tcPr>
            <w:tcW w:w="1063" w:type="dxa"/>
            <w:tcBorders>
              <w:top w:val="single" w:sz="4" w:space="0" w:color="A6A6A6" w:themeColor="background1" w:themeShade="A6"/>
              <w:bottom w:val="nil"/>
            </w:tcBorders>
            <w:shd w:val="clear" w:color="auto" w:fill="D9D9D9" w:themeFill="background1" w:themeFillShade="D9"/>
          </w:tcPr>
          <w:p w14:paraId="2190C9DB" w14:textId="57D977EC" w:rsidR="001A4831" w:rsidRPr="001A4831" w:rsidRDefault="001A4831" w:rsidP="001A4831">
            <w:pPr>
              <w:pStyle w:val="TableText"/>
              <w:rPr>
                <w:rFonts w:eastAsia="Arial Unicode MS"/>
                <w:b/>
                <w:bCs/>
              </w:rPr>
            </w:pPr>
            <w:r w:rsidRPr="001A4831">
              <w:rPr>
                <w:b/>
                <w:bCs/>
              </w:rPr>
              <w:t>Female</w:t>
            </w:r>
          </w:p>
        </w:tc>
        <w:tc>
          <w:tcPr>
            <w:tcW w:w="1064" w:type="dxa"/>
            <w:tcBorders>
              <w:top w:val="single" w:sz="4" w:space="0" w:color="A6A6A6" w:themeColor="background1" w:themeShade="A6"/>
              <w:bottom w:val="nil"/>
            </w:tcBorders>
            <w:shd w:val="clear" w:color="auto" w:fill="D9D9D9" w:themeFill="background1" w:themeFillShade="D9"/>
          </w:tcPr>
          <w:p w14:paraId="4A9CA2C3" w14:textId="4CDA7ABD" w:rsidR="001A4831" w:rsidRPr="001A4831" w:rsidRDefault="001A4831" w:rsidP="001A4831">
            <w:pPr>
              <w:pStyle w:val="TableText"/>
              <w:rPr>
                <w:rFonts w:eastAsia="Arial Unicode MS"/>
                <w:b/>
                <w:bCs/>
              </w:rPr>
            </w:pPr>
            <w:r w:rsidRPr="001A4831">
              <w:rPr>
                <w:b/>
                <w:bCs/>
              </w:rPr>
              <w:t>Male</w:t>
            </w:r>
          </w:p>
        </w:tc>
      </w:tr>
      <w:tr w:rsidR="001A4831" w14:paraId="17ABBBE5" w14:textId="77777777" w:rsidTr="001A4831">
        <w:tc>
          <w:tcPr>
            <w:tcW w:w="1838" w:type="dxa"/>
            <w:tcBorders>
              <w:top w:val="nil"/>
            </w:tcBorders>
          </w:tcPr>
          <w:p w14:paraId="5389376E" w14:textId="00278B40" w:rsidR="001A4831" w:rsidRDefault="001A4831" w:rsidP="001A4831">
            <w:pPr>
              <w:pStyle w:val="TableText"/>
              <w:rPr>
                <w:rFonts w:eastAsia="Arial Unicode MS"/>
              </w:rPr>
            </w:pPr>
            <w:r w:rsidRPr="00E42014">
              <w:t>All ethnic groups</w:t>
            </w:r>
          </w:p>
        </w:tc>
        <w:tc>
          <w:tcPr>
            <w:tcW w:w="1063" w:type="dxa"/>
            <w:tcBorders>
              <w:top w:val="nil"/>
            </w:tcBorders>
          </w:tcPr>
          <w:p w14:paraId="522064CE" w14:textId="74A394FA" w:rsidR="001A4831" w:rsidRDefault="001A4831" w:rsidP="001A4831">
            <w:pPr>
              <w:pStyle w:val="TableText"/>
              <w:rPr>
                <w:rFonts w:eastAsia="Arial Unicode MS"/>
              </w:rPr>
            </w:pPr>
            <w:r w:rsidRPr="004E6DCE">
              <w:t>32,783</w:t>
            </w:r>
          </w:p>
        </w:tc>
        <w:tc>
          <w:tcPr>
            <w:tcW w:w="1063" w:type="dxa"/>
            <w:tcBorders>
              <w:top w:val="nil"/>
            </w:tcBorders>
          </w:tcPr>
          <w:p w14:paraId="3FC8179D" w14:textId="42971F60" w:rsidR="001A4831" w:rsidRDefault="001A4831" w:rsidP="001A4831">
            <w:pPr>
              <w:pStyle w:val="TableText"/>
              <w:rPr>
                <w:rFonts w:eastAsia="Arial Unicode MS"/>
              </w:rPr>
            </w:pPr>
            <w:r w:rsidRPr="004E6DCE">
              <w:t>15,781</w:t>
            </w:r>
          </w:p>
        </w:tc>
        <w:tc>
          <w:tcPr>
            <w:tcW w:w="1063" w:type="dxa"/>
            <w:tcBorders>
              <w:top w:val="nil"/>
            </w:tcBorders>
          </w:tcPr>
          <w:p w14:paraId="7A3EC7A2" w14:textId="3A9B76B9" w:rsidR="001A4831" w:rsidRDefault="001A4831" w:rsidP="001A4831">
            <w:pPr>
              <w:pStyle w:val="TableText"/>
              <w:rPr>
                <w:rFonts w:eastAsia="Arial Unicode MS"/>
              </w:rPr>
            </w:pPr>
            <w:r w:rsidRPr="004E6DCE">
              <w:t>17,002</w:t>
            </w:r>
          </w:p>
        </w:tc>
        <w:tc>
          <w:tcPr>
            <w:tcW w:w="1063" w:type="dxa"/>
            <w:tcBorders>
              <w:top w:val="nil"/>
            </w:tcBorders>
          </w:tcPr>
          <w:p w14:paraId="557D9DBE" w14:textId="792670AB" w:rsidR="001A4831" w:rsidRDefault="001A4831" w:rsidP="001A4831">
            <w:pPr>
              <w:pStyle w:val="TableText"/>
              <w:rPr>
                <w:rFonts w:eastAsia="Arial Unicode MS"/>
              </w:rPr>
            </w:pPr>
            <w:r w:rsidRPr="004E6DCE">
              <w:t>343.8</w:t>
            </w:r>
          </w:p>
        </w:tc>
        <w:tc>
          <w:tcPr>
            <w:tcW w:w="1063" w:type="dxa"/>
            <w:tcBorders>
              <w:top w:val="nil"/>
            </w:tcBorders>
          </w:tcPr>
          <w:p w14:paraId="4F1960A8" w14:textId="52BD4BAD" w:rsidR="001A4831" w:rsidRDefault="001A4831" w:rsidP="001A4831">
            <w:pPr>
              <w:pStyle w:val="TableText"/>
              <w:rPr>
                <w:rFonts w:eastAsia="Arial Unicode MS"/>
              </w:rPr>
            </w:pPr>
            <w:r w:rsidRPr="004E6DCE">
              <w:t>289.4</w:t>
            </w:r>
          </w:p>
        </w:tc>
        <w:tc>
          <w:tcPr>
            <w:tcW w:w="1064" w:type="dxa"/>
            <w:tcBorders>
              <w:top w:val="nil"/>
            </w:tcBorders>
          </w:tcPr>
          <w:p w14:paraId="1B9DF6AF" w14:textId="430D19EB" w:rsidR="001A4831" w:rsidRDefault="001A4831" w:rsidP="001A4831">
            <w:pPr>
              <w:pStyle w:val="TableText"/>
              <w:rPr>
                <w:rFonts w:eastAsia="Arial Unicode MS"/>
              </w:rPr>
            </w:pPr>
            <w:r w:rsidRPr="004E6DCE">
              <w:t>404.5</w:t>
            </w:r>
          </w:p>
        </w:tc>
      </w:tr>
      <w:tr w:rsidR="001A4831" w14:paraId="199F2BD4" w14:textId="77777777" w:rsidTr="001A4831">
        <w:tc>
          <w:tcPr>
            <w:tcW w:w="1838" w:type="dxa"/>
          </w:tcPr>
          <w:p w14:paraId="3045C755" w14:textId="0815BD97" w:rsidR="001A4831" w:rsidRDefault="001A4831" w:rsidP="001A4831">
            <w:pPr>
              <w:pStyle w:val="TableText"/>
              <w:rPr>
                <w:rFonts w:eastAsia="Arial Unicode MS"/>
              </w:rPr>
            </w:pPr>
            <w:r w:rsidRPr="00E42014">
              <w:t>Māori</w:t>
            </w:r>
          </w:p>
        </w:tc>
        <w:tc>
          <w:tcPr>
            <w:tcW w:w="1063" w:type="dxa"/>
          </w:tcPr>
          <w:p w14:paraId="7FFCE1B7" w14:textId="68A81FB0" w:rsidR="001A4831" w:rsidRDefault="001A4831" w:rsidP="001A4831">
            <w:pPr>
              <w:pStyle w:val="TableText"/>
              <w:rPr>
                <w:rFonts w:eastAsia="Arial Unicode MS"/>
              </w:rPr>
            </w:pPr>
            <w:r w:rsidRPr="004E6DCE">
              <w:t>3,930</w:t>
            </w:r>
          </w:p>
        </w:tc>
        <w:tc>
          <w:tcPr>
            <w:tcW w:w="1063" w:type="dxa"/>
          </w:tcPr>
          <w:p w14:paraId="236C3885" w14:textId="14D4A28B" w:rsidR="001A4831" w:rsidRDefault="001A4831" w:rsidP="001A4831">
            <w:pPr>
              <w:pStyle w:val="TableText"/>
              <w:rPr>
                <w:rFonts w:eastAsia="Arial Unicode MS"/>
              </w:rPr>
            </w:pPr>
            <w:r w:rsidRPr="004E6DCE">
              <w:t>1,789</w:t>
            </w:r>
          </w:p>
        </w:tc>
        <w:tc>
          <w:tcPr>
            <w:tcW w:w="1063" w:type="dxa"/>
          </w:tcPr>
          <w:p w14:paraId="09C116B8" w14:textId="3C6C6EC9" w:rsidR="001A4831" w:rsidRDefault="001A4831" w:rsidP="001A4831">
            <w:pPr>
              <w:pStyle w:val="TableText"/>
              <w:rPr>
                <w:rFonts w:eastAsia="Arial Unicode MS"/>
              </w:rPr>
            </w:pPr>
            <w:r w:rsidRPr="004E6DCE">
              <w:t>2,141</w:t>
            </w:r>
          </w:p>
        </w:tc>
        <w:tc>
          <w:tcPr>
            <w:tcW w:w="1063" w:type="dxa"/>
          </w:tcPr>
          <w:p w14:paraId="4F91407F" w14:textId="26E2E904" w:rsidR="001A4831" w:rsidRDefault="001A4831" w:rsidP="001A4831">
            <w:pPr>
              <w:pStyle w:val="TableText"/>
              <w:rPr>
                <w:rFonts w:eastAsia="Arial Unicode MS"/>
              </w:rPr>
            </w:pPr>
            <w:r w:rsidRPr="004E6DCE">
              <w:t>552.2</w:t>
            </w:r>
          </w:p>
        </w:tc>
        <w:tc>
          <w:tcPr>
            <w:tcW w:w="1063" w:type="dxa"/>
          </w:tcPr>
          <w:p w14:paraId="1264360F" w14:textId="6A1209AE" w:rsidR="001A4831" w:rsidRDefault="001A4831" w:rsidP="001A4831">
            <w:pPr>
              <w:pStyle w:val="TableText"/>
              <w:rPr>
                <w:rFonts w:eastAsia="Arial Unicode MS"/>
              </w:rPr>
            </w:pPr>
            <w:r w:rsidRPr="004E6DCE">
              <w:t>469.4</w:t>
            </w:r>
          </w:p>
        </w:tc>
        <w:tc>
          <w:tcPr>
            <w:tcW w:w="1064" w:type="dxa"/>
          </w:tcPr>
          <w:p w14:paraId="297AA2D6" w14:textId="510A4023" w:rsidR="001A4831" w:rsidRDefault="001A4831" w:rsidP="001A4831">
            <w:pPr>
              <w:pStyle w:val="TableText"/>
              <w:rPr>
                <w:rFonts w:eastAsia="Arial Unicode MS"/>
              </w:rPr>
            </w:pPr>
            <w:r w:rsidRPr="004E6DCE">
              <w:t>646.5</w:t>
            </w:r>
          </w:p>
        </w:tc>
      </w:tr>
      <w:tr w:rsidR="001A4831" w14:paraId="563CFA6C" w14:textId="77777777" w:rsidTr="001A4831">
        <w:tc>
          <w:tcPr>
            <w:tcW w:w="1838" w:type="dxa"/>
          </w:tcPr>
          <w:p w14:paraId="29CCDDD3" w14:textId="45170B32" w:rsidR="001A4831" w:rsidRDefault="001A4831" w:rsidP="001A4831">
            <w:pPr>
              <w:pStyle w:val="TableText"/>
              <w:rPr>
                <w:rFonts w:eastAsia="Arial Unicode MS"/>
              </w:rPr>
            </w:pPr>
            <w:r w:rsidRPr="00E42014">
              <w:t>Non-Māori</w:t>
            </w:r>
          </w:p>
        </w:tc>
        <w:tc>
          <w:tcPr>
            <w:tcW w:w="1063" w:type="dxa"/>
          </w:tcPr>
          <w:p w14:paraId="3366A58B" w14:textId="114B5616" w:rsidR="001A4831" w:rsidRDefault="001A4831" w:rsidP="001A4831">
            <w:pPr>
              <w:pStyle w:val="TableText"/>
              <w:rPr>
                <w:rFonts w:eastAsia="Arial Unicode MS"/>
              </w:rPr>
            </w:pPr>
            <w:r w:rsidRPr="004E6DCE">
              <w:t>28,853</w:t>
            </w:r>
          </w:p>
        </w:tc>
        <w:tc>
          <w:tcPr>
            <w:tcW w:w="1063" w:type="dxa"/>
          </w:tcPr>
          <w:p w14:paraId="03E9A0B0" w14:textId="12323587" w:rsidR="001A4831" w:rsidRDefault="001A4831" w:rsidP="001A4831">
            <w:pPr>
              <w:pStyle w:val="TableText"/>
              <w:rPr>
                <w:rFonts w:eastAsia="Arial Unicode MS"/>
              </w:rPr>
            </w:pPr>
            <w:r w:rsidRPr="004E6DCE">
              <w:t>13,992</w:t>
            </w:r>
          </w:p>
        </w:tc>
        <w:tc>
          <w:tcPr>
            <w:tcW w:w="1063" w:type="dxa"/>
          </w:tcPr>
          <w:p w14:paraId="34C63596" w14:textId="2B3C43FA" w:rsidR="001A4831" w:rsidRDefault="001A4831" w:rsidP="001A4831">
            <w:pPr>
              <w:pStyle w:val="TableText"/>
              <w:rPr>
                <w:rFonts w:eastAsia="Arial Unicode MS"/>
              </w:rPr>
            </w:pPr>
            <w:r w:rsidRPr="004E6DCE">
              <w:t>14,861</w:t>
            </w:r>
          </w:p>
        </w:tc>
        <w:tc>
          <w:tcPr>
            <w:tcW w:w="1063" w:type="dxa"/>
          </w:tcPr>
          <w:p w14:paraId="3302976E" w14:textId="42088FAF" w:rsidR="001A4831" w:rsidRDefault="001A4831" w:rsidP="001A4831">
            <w:pPr>
              <w:pStyle w:val="TableText"/>
              <w:rPr>
                <w:rFonts w:eastAsia="Arial Unicode MS"/>
              </w:rPr>
            </w:pPr>
            <w:r w:rsidRPr="004E6DCE">
              <w:t>318.2</w:t>
            </w:r>
          </w:p>
        </w:tc>
        <w:tc>
          <w:tcPr>
            <w:tcW w:w="1063" w:type="dxa"/>
          </w:tcPr>
          <w:p w14:paraId="05782BEF" w14:textId="5D7CF973" w:rsidR="001A4831" w:rsidRDefault="001A4831" w:rsidP="001A4831">
            <w:pPr>
              <w:pStyle w:val="TableText"/>
              <w:rPr>
                <w:rFonts w:eastAsia="Arial Unicode MS"/>
              </w:rPr>
            </w:pPr>
            <w:r w:rsidRPr="004E6DCE">
              <w:t>268.0</w:t>
            </w:r>
          </w:p>
        </w:tc>
        <w:tc>
          <w:tcPr>
            <w:tcW w:w="1064" w:type="dxa"/>
          </w:tcPr>
          <w:p w14:paraId="6E3A228C" w14:textId="1E7A988E" w:rsidR="001A4831" w:rsidRDefault="001A4831" w:rsidP="001A4831">
            <w:pPr>
              <w:pStyle w:val="TableText"/>
              <w:rPr>
                <w:rFonts w:eastAsia="Arial Unicode MS"/>
              </w:rPr>
            </w:pPr>
            <w:r w:rsidRPr="004E6DCE">
              <w:t>374.2</w:t>
            </w:r>
          </w:p>
        </w:tc>
      </w:tr>
    </w:tbl>
    <w:p w14:paraId="5F6B2495" w14:textId="77777777" w:rsidR="00D23483" w:rsidRPr="00476DFB" w:rsidRDefault="00D23483" w:rsidP="00D23483">
      <w:pPr>
        <w:pStyle w:val="Note"/>
        <w:rPr>
          <w:rFonts w:eastAsiaTheme="minorEastAsia"/>
        </w:rPr>
      </w:pPr>
      <w:r w:rsidRPr="00476DFB">
        <w:rPr>
          <w:rFonts w:eastAsiaTheme="minorEastAsia"/>
        </w:rPr>
        <w:t>Note: Rates per 100,000 population are age standardised to the World Health Organization’s World Standard Population.</w:t>
      </w:r>
    </w:p>
    <w:p w14:paraId="2C674498" w14:textId="77777777" w:rsidR="00D23483" w:rsidRPr="00D23483" w:rsidRDefault="00D23483" w:rsidP="00D23483">
      <w:pPr>
        <w:pStyle w:val="Source"/>
        <w:rPr>
          <w:rFonts w:eastAsiaTheme="minorEastAsia"/>
        </w:rPr>
      </w:pPr>
      <w:r w:rsidRPr="00D23483">
        <w:rPr>
          <w:rFonts w:eastAsiaTheme="minorEastAsia"/>
        </w:rPr>
        <w:t xml:space="preserve">Source: </w:t>
      </w:r>
      <w:hyperlink r:id="rId47">
        <w:r w:rsidRPr="00D23483">
          <w:rPr>
            <w:rStyle w:val="Hyperlink"/>
            <w:rFonts w:eastAsiaTheme="minorEastAsia"/>
          </w:rPr>
          <w:t>Te Whatu Ora (2023h</w:t>
        </w:r>
      </w:hyperlink>
      <w:r w:rsidRPr="00D23483">
        <w:rPr>
          <w:rStyle w:val="Hyperlink"/>
          <w:rFonts w:eastAsiaTheme="minorEastAsia"/>
        </w:rPr>
        <w:t>)</w:t>
      </w:r>
    </w:p>
    <w:p w14:paraId="10BF343E" w14:textId="77777777" w:rsidR="00D23483" w:rsidRPr="0007414B" w:rsidRDefault="00D23483" w:rsidP="00D23483">
      <w:pPr>
        <w:rPr>
          <w:rFonts w:eastAsiaTheme="minorEastAsia" w:cs="Segoe UI"/>
          <w:szCs w:val="21"/>
        </w:rPr>
      </w:pPr>
    </w:p>
    <w:p w14:paraId="1243EAC5" w14:textId="77777777" w:rsidR="00D23483" w:rsidRPr="0007414B" w:rsidRDefault="00D23483" w:rsidP="00D23483">
      <w:r w:rsidRPr="0007414B">
        <w:t>Overall, the leading causes of death in 2020 per 100,000 population were:</w:t>
      </w:r>
    </w:p>
    <w:p w14:paraId="52923C8A" w14:textId="77777777" w:rsidR="00D23483" w:rsidRPr="0007414B" w:rsidRDefault="00D23483" w:rsidP="00D23483">
      <w:pPr>
        <w:pStyle w:val="Bullet"/>
      </w:pPr>
      <w:r w:rsidRPr="0007414B">
        <w:t>cancer (all cancer types combined) at 109.9 deaths per 100,000</w:t>
      </w:r>
    </w:p>
    <w:p w14:paraId="4F296415" w14:textId="77777777" w:rsidR="00D23483" w:rsidRPr="0007414B" w:rsidRDefault="00D23483" w:rsidP="00D23483">
      <w:pPr>
        <w:pStyle w:val="Bullet"/>
      </w:pPr>
      <w:r w:rsidRPr="0007414B">
        <w:t>ischaemic heart disease at 41.9 deaths</w:t>
      </w:r>
    </w:p>
    <w:p w14:paraId="01F14D54" w14:textId="77777777" w:rsidR="00D23483" w:rsidRPr="0007414B" w:rsidRDefault="00D23483" w:rsidP="00D23483">
      <w:pPr>
        <w:pStyle w:val="Bullet"/>
      </w:pPr>
      <w:bookmarkStart w:id="48" w:name="_Hlk133849963"/>
      <w:r w:rsidRPr="0007414B">
        <w:t xml:space="preserve">cerebrovascular diseases </w:t>
      </w:r>
      <w:bookmarkEnd w:id="48"/>
      <w:r w:rsidRPr="0007414B">
        <w:t>(</w:t>
      </w:r>
      <w:r w:rsidRPr="00287687">
        <w:rPr>
          <w:shd w:val="clear" w:color="auto" w:fill="FFFFFF"/>
        </w:rPr>
        <w:t xml:space="preserve">includes </w:t>
      </w:r>
      <w:r w:rsidRPr="0007414B">
        <w:t>heart, stroke and blood vessel diseases) at 18.9 deaths.</w:t>
      </w:r>
    </w:p>
    <w:p w14:paraId="21303EDF" w14:textId="77777777" w:rsidR="00D23483" w:rsidRPr="0007414B" w:rsidRDefault="00D23483" w:rsidP="00D23483"/>
    <w:p w14:paraId="52E8C30F" w14:textId="77777777" w:rsidR="00D23483" w:rsidRPr="0007414B" w:rsidRDefault="00D23483" w:rsidP="00D23483">
      <w:r w:rsidRPr="0007414B">
        <w:t>For Māori, the leading causes of death in 2020 per 100,000 Māori population were:</w:t>
      </w:r>
    </w:p>
    <w:p w14:paraId="46900352" w14:textId="77777777" w:rsidR="00D23483" w:rsidRPr="0007414B" w:rsidRDefault="00D23483" w:rsidP="00D23483">
      <w:pPr>
        <w:pStyle w:val="Bullet"/>
      </w:pPr>
      <w:r w:rsidRPr="0007414B">
        <w:t>cancer (all cancer types combined) at 163.8 deaths per 100,000</w:t>
      </w:r>
    </w:p>
    <w:p w14:paraId="1DDC37B5" w14:textId="77777777" w:rsidR="00D23483" w:rsidRPr="0007414B" w:rsidRDefault="00D23483" w:rsidP="00D23483">
      <w:pPr>
        <w:pStyle w:val="Bullet"/>
      </w:pPr>
      <w:r w:rsidRPr="0007414B">
        <w:t>ischaemic heart disease at 72.2 deaths</w:t>
      </w:r>
      <w:r w:rsidRPr="0007414B" w:rsidDel="00EE0392">
        <w:t xml:space="preserve"> </w:t>
      </w:r>
    </w:p>
    <w:p w14:paraId="63B33C46" w14:textId="6320D1F1" w:rsidR="001A4831" w:rsidRPr="00D23483" w:rsidRDefault="00D23483" w:rsidP="001A4831">
      <w:pPr>
        <w:pStyle w:val="Bullet"/>
      </w:pPr>
      <w:r w:rsidRPr="0007414B">
        <w:t>chronic lower respiratory diseases</w:t>
      </w:r>
      <w:r w:rsidRPr="0007414B" w:rsidDel="00EE0392">
        <w:t xml:space="preserve"> </w:t>
      </w:r>
      <w:r w:rsidRPr="0007414B">
        <w:t>at 37.9 deaths.</w:t>
      </w:r>
    </w:p>
    <w:p w14:paraId="577178F7" w14:textId="77777777" w:rsidR="004B1165" w:rsidRDefault="004B1165" w:rsidP="001A4831">
      <w:pPr>
        <w:pStyle w:val="Heading4"/>
        <w:sectPr w:rsidR="004B1165" w:rsidSect="00025EAD">
          <w:pgSz w:w="11907" w:h="16834" w:code="9"/>
          <w:pgMar w:top="1418" w:right="1701" w:bottom="1134" w:left="1843" w:header="284" w:footer="425" w:gutter="284"/>
          <w:cols w:space="720"/>
        </w:sectPr>
      </w:pPr>
    </w:p>
    <w:p w14:paraId="51D634CB" w14:textId="6B633191" w:rsidR="00B1007E" w:rsidRDefault="001A4831" w:rsidP="004B1165">
      <w:pPr>
        <w:pStyle w:val="Heading4"/>
        <w:spacing w:before="0"/>
      </w:pPr>
      <w:r w:rsidRPr="001A4831">
        <w:lastRenderedPageBreak/>
        <w:t>Fetal and infant mortality</w:t>
      </w:r>
    </w:p>
    <w:p w14:paraId="61198107" w14:textId="77777777" w:rsidR="00D23483" w:rsidRPr="0007414B" w:rsidRDefault="00464876" w:rsidP="00D23483">
      <w:pPr>
        <w:rPr>
          <w:lang w:eastAsia="en-NZ"/>
        </w:rPr>
      </w:pPr>
      <w:hyperlink r:id="rId48" w:history="1">
        <w:r w:rsidR="00D23483" w:rsidRPr="0007414B">
          <w:rPr>
            <w:rStyle w:val="Hyperlink"/>
            <w:rFonts w:cs="Segoe UI"/>
          </w:rPr>
          <w:t>Te Whatu Ora’s fetal and infant deaths web tool</w:t>
        </w:r>
      </w:hyperlink>
      <w:r w:rsidR="00D23483" w:rsidRPr="0007414B">
        <w:t xml:space="preserve"> presents a summary of fetal deaths</w:t>
      </w:r>
      <w:r w:rsidR="00D23483" w:rsidRPr="0007414B">
        <w:rPr>
          <w:rStyle w:val="FootnoteReference"/>
          <w:rFonts w:cs="Segoe UI"/>
        </w:rPr>
        <w:footnoteReference w:id="8"/>
      </w:r>
      <w:r w:rsidR="00D23483" w:rsidRPr="0007414B">
        <w:t xml:space="preserve"> and infant deaths,</w:t>
      </w:r>
      <w:r w:rsidR="00D23483" w:rsidRPr="0007414B">
        <w:rPr>
          <w:rStyle w:val="FootnoteReference"/>
          <w:rFonts w:cs="Segoe UI"/>
        </w:rPr>
        <w:footnoteReference w:id="9"/>
      </w:r>
      <w:r w:rsidR="00D23483" w:rsidRPr="0007414B">
        <w:t xml:space="preserve"> with a focus on deaths and stillbirths registered in 2020</w:t>
      </w:r>
      <w:r w:rsidR="00D23483" w:rsidRPr="0007414B">
        <w:rPr>
          <w:rFonts w:cs="Segoe UI"/>
        </w:rPr>
        <w:t xml:space="preserve"> </w:t>
      </w:r>
      <w:r w:rsidR="00D23483" w:rsidRPr="0007414B">
        <w:rPr>
          <w:rFonts w:cs="Segoe UI"/>
        </w:rPr>
        <w:fldChar w:fldCharType="begin"/>
      </w:r>
      <w:r w:rsidR="00D23483" w:rsidRPr="0007414B">
        <w:rPr>
          <w:rFonts w:cs="Segoe UI"/>
        </w:rPr>
        <w:instrText xml:space="preserve"> ADDIN EN.CITE &lt;EndNote&gt;&lt;Cite&gt;&lt;Author&gt;Te Whatu Ora&lt;/Author&gt;&lt;Year&gt;2023&lt;/Year&gt;&lt;RecNum&gt;291&lt;/RecNum&gt;&lt;DisplayText&gt;(Te Whatu Ora 2023g)&lt;/DisplayText&gt;&lt;record&gt;&lt;rec-number&gt;291&lt;/rec-number&gt;&lt;foreign-keys&gt;&lt;key app="EN" db-id="aaepvppzs5wtfse95vsp2wahsrtvva2vvdet" timestamp="1683250953"&gt;291&lt;/key&gt;&lt;/foreign-keys&gt;&lt;ref-type name="Web Page"&gt;12&lt;/ref-type&gt;&lt;contributors&gt;&lt;authors&gt;&lt;author&gt;Te Whatu Ora,&lt;/author&gt;&lt;/authors&gt;&lt;/contributors&gt;&lt;titles&gt;&lt;title&gt;Fetal and infant deaths web tool (Data file)&lt;/title&gt;&lt;/titles&gt;&lt;number&gt;28 April 2023&lt;/number&gt;&lt;dates&gt;&lt;year&gt;2023&lt;/year&gt;&lt;/dates&gt;&lt;urls&gt;&lt;related-urls&gt;&lt;url&gt;https://tewhatuora.shinyapps.io/fetal-and-infant-deaths-web-tool/&lt;/url&gt;&lt;/related-urls&gt;&lt;/urls&gt;&lt;/record&gt;&lt;/Cite&gt;&lt;/EndNote&gt;</w:instrText>
      </w:r>
      <w:r w:rsidR="00D23483" w:rsidRPr="0007414B">
        <w:rPr>
          <w:rFonts w:cs="Segoe UI"/>
        </w:rPr>
        <w:fldChar w:fldCharType="separate"/>
      </w:r>
      <w:r w:rsidR="00D23483" w:rsidRPr="0007414B">
        <w:rPr>
          <w:rFonts w:cs="Segoe UI"/>
        </w:rPr>
        <w:t>(Te Whatu Ora 2023g)</w:t>
      </w:r>
      <w:r w:rsidR="00D23483" w:rsidRPr="0007414B">
        <w:rPr>
          <w:rFonts w:cs="Segoe UI"/>
        </w:rPr>
        <w:fldChar w:fldCharType="end"/>
      </w:r>
      <w:r w:rsidR="00D23483" w:rsidRPr="0007414B">
        <w:t xml:space="preserve">. </w:t>
      </w:r>
      <w:r w:rsidR="00D23483" w:rsidRPr="0007414B">
        <w:rPr>
          <w:lang w:eastAsia="en-NZ"/>
        </w:rPr>
        <w:t>It includes demographic information, cause of death, gestation and birthweight of the deceased. It also identifies deaths classified as sudden infant death syndrome (SIDS) and sudden unexpected death in infancy (SUDI).</w:t>
      </w:r>
    </w:p>
    <w:p w14:paraId="2A77DB5C" w14:textId="77777777" w:rsidR="00D23483" w:rsidRPr="0007414B" w:rsidRDefault="00D23483" w:rsidP="00D23483">
      <w:pPr>
        <w:rPr>
          <w:rFonts w:cs="Segoe UI"/>
          <w:szCs w:val="21"/>
        </w:rPr>
      </w:pPr>
    </w:p>
    <w:p w14:paraId="53272EE3" w14:textId="77777777" w:rsidR="00D23483" w:rsidRPr="0007414B" w:rsidRDefault="00D23483" w:rsidP="00D23483">
      <w:pPr>
        <w:rPr>
          <w:rFonts w:cs="Segoe UI"/>
        </w:rPr>
      </w:pPr>
      <w:r w:rsidRPr="0007414B">
        <w:rPr>
          <w:rFonts w:cs="Segoe UI"/>
        </w:rPr>
        <w:t>In total, 434 fetal deaths and 278 infant deaths were registered in 2020 (the most recent available data</w:t>
      </w:r>
      <w:r>
        <w:rPr>
          <w:rFonts w:cs="Segoe UI"/>
        </w:rPr>
        <w:t>;</w:t>
      </w:r>
      <w:r w:rsidRPr="0007414B">
        <w:rPr>
          <w:rFonts w:cs="Segoe UI"/>
        </w:rPr>
        <w:t xml:space="preserve"> </w:t>
      </w:r>
      <w:r w:rsidRPr="0007414B">
        <w:rPr>
          <w:rFonts w:cs="Segoe UI"/>
        </w:rPr>
        <w:fldChar w:fldCharType="begin"/>
      </w:r>
      <w:r w:rsidRPr="0007414B">
        <w:rPr>
          <w:rFonts w:cs="Segoe UI"/>
        </w:rPr>
        <w:instrText xml:space="preserve"> ADDIN EN.CITE &lt;EndNote&gt;&lt;Cite&gt;&lt;Author&gt;Te Whatu Ora&lt;/Author&gt;&lt;Year&gt;2023&lt;/Year&gt;&lt;RecNum&gt;291&lt;/RecNum&gt;&lt;DisplayText&gt;(Te Whatu Ora 2023g)&lt;/DisplayText&gt;&lt;record&gt;&lt;rec-number&gt;291&lt;/rec-number&gt;&lt;foreign-keys&gt;&lt;key app="EN" db-id="aaepvppzs5wtfse95vsp2wahsrtvva2vvdet" timestamp="1683250953"&gt;291&lt;/key&gt;&lt;/foreign-keys&gt;&lt;ref-type name="Web Page"&gt;12&lt;/ref-type&gt;&lt;contributors&gt;&lt;authors&gt;&lt;author&gt;Te Whatu Ora,&lt;/author&gt;&lt;/authors&gt;&lt;/contributors&gt;&lt;titles&gt;&lt;title&gt;Fetal and infant deaths web tool (Data file)&lt;/title&gt;&lt;/titles&gt;&lt;number&gt;28 April 2023&lt;/number&gt;&lt;dates&gt;&lt;year&gt;2023&lt;/year&gt;&lt;/dates&gt;&lt;urls&gt;&lt;related-urls&gt;&lt;url&gt;https://tewhatuora.shinyapps.io/fetal-and-infant-deaths-web-tool/&lt;/url&gt;&lt;/related-urls&gt;&lt;/urls&gt;&lt;/record&gt;&lt;/Cite&gt;&lt;/EndNote&gt;</w:instrText>
      </w:r>
      <w:r w:rsidRPr="0007414B">
        <w:rPr>
          <w:rFonts w:cs="Segoe UI"/>
        </w:rPr>
        <w:fldChar w:fldCharType="separate"/>
      </w:r>
      <w:r w:rsidRPr="0007414B">
        <w:rPr>
          <w:rFonts w:cs="Segoe UI"/>
        </w:rPr>
        <w:t>Te Whatu Ora 2023g)</w:t>
      </w:r>
      <w:r w:rsidRPr="0007414B">
        <w:rPr>
          <w:rFonts w:cs="Segoe UI"/>
        </w:rPr>
        <w:fldChar w:fldCharType="end"/>
      </w:r>
      <w:r w:rsidRPr="0007414B">
        <w:rPr>
          <w:rFonts w:cs="Segoe UI"/>
        </w:rPr>
        <w:t xml:space="preserve">. This equates to a fetal death rate of 7.4 per 1,000 total births, and an infant death rate of </w:t>
      </w:r>
      <w:r w:rsidRPr="0007414B">
        <w:rPr>
          <w:rFonts w:cs="Segoe UI"/>
          <w:lang w:eastAsia="en-NZ"/>
        </w:rPr>
        <w:t>4.8 per 1,000 live births. Between 1996 and 2020, the infant death rate fell significantly, from 7.3 to 4.8 infant deaths per 1,000 live births. Th</w:t>
      </w:r>
      <w:r>
        <w:rPr>
          <w:rFonts w:cs="Segoe UI"/>
          <w:lang w:eastAsia="en-NZ"/>
        </w:rPr>
        <w:t>e</w:t>
      </w:r>
      <w:r w:rsidRPr="0007414B">
        <w:rPr>
          <w:rFonts w:cs="Segoe UI"/>
          <w:lang w:eastAsia="en-NZ"/>
        </w:rPr>
        <w:t xml:space="preserve"> main reason for this decrease was a notable drop in post-neonatal</w:t>
      </w:r>
      <w:r>
        <w:rPr>
          <w:rStyle w:val="FootnoteReference"/>
          <w:rFonts w:cs="Segoe UI"/>
          <w:lang w:eastAsia="en-NZ"/>
        </w:rPr>
        <w:footnoteReference w:id="10"/>
      </w:r>
      <w:r w:rsidRPr="0007414B">
        <w:rPr>
          <w:rFonts w:cs="Segoe UI"/>
          <w:lang w:eastAsia="en-NZ"/>
        </w:rPr>
        <w:t xml:space="preserve"> deaths.</w:t>
      </w:r>
    </w:p>
    <w:p w14:paraId="4063EDB2" w14:textId="61A0020D" w:rsidR="00D23483" w:rsidRDefault="00D23483" w:rsidP="00D23483"/>
    <w:p w14:paraId="68B50AAC" w14:textId="77777777" w:rsidR="00D23483" w:rsidRPr="0007414B" w:rsidRDefault="00D23483" w:rsidP="00D23483">
      <w:pPr>
        <w:rPr>
          <w:rFonts w:cs="Segoe UI"/>
          <w:lang w:eastAsia="en-NZ"/>
        </w:rPr>
      </w:pPr>
      <w:r w:rsidRPr="0007414B">
        <w:rPr>
          <w:rFonts w:cs="Segoe UI"/>
          <w:lang w:eastAsia="en-NZ"/>
        </w:rPr>
        <w:t xml:space="preserve">According to the latest Perinatal and Maternal Mortality Review Committee report </w:t>
      </w:r>
      <w:r w:rsidRPr="0007414B">
        <w:rPr>
          <w:rFonts w:cs="Segoe UI"/>
          <w:lang w:eastAsia="en-NZ"/>
        </w:rPr>
        <w:fldChar w:fldCharType="begin"/>
      </w:r>
      <w:r>
        <w:rPr>
          <w:rFonts w:cs="Segoe UI"/>
          <w:lang w:eastAsia="en-NZ"/>
        </w:rPr>
        <w:instrText xml:space="preserve"> ADDIN EN.CITE &lt;EndNote&gt;&lt;Cite&gt;&lt;Author&gt;Te Tāhū Hauora&lt;/Author&gt;&lt;Year&gt;2022&lt;/Year&gt;&lt;RecNum&gt;372&lt;/RecNum&gt;&lt;DisplayText&gt;(Te Tāhū Hauora 2022a)&lt;/DisplayText&gt;&lt;record&gt;&lt;rec-number&gt;372&lt;/rec-number&gt;&lt;foreign-keys&gt;&lt;key app="EN" db-id="aaepvppzs5wtfse95vsp2wahsrtvva2vvdet" timestamp="1684364956"&gt;372&lt;/key&gt;&lt;/foreign-keys&gt;&lt;ref-type name="Web Page"&gt;12&lt;/ref-type&gt;&lt;contributors&gt;&lt;authors&gt;&lt;author&gt;&lt;style face="normal" font="default" size="100%"&gt;Te T&lt;/style&gt;&lt;style face="normal" font="default" charset="238" size="100%"&gt;āhū Hauora,&lt;/style&gt;&lt;/author&gt;&lt;/authors&gt;&lt;/contributors&gt;&lt;titles&gt;&lt;title&gt;&lt;style face="normal" font="default" size="100%"&gt;Fifteenth Annual Report of the Perinatal and Maternal Mortality Review Committee | Te P&lt;/style&gt;&lt;style face="normal" font="default" charset="238" size="100%"&gt;ūrongo ā-Tau Tekau mā Rima o te Komiti Arotake Mate Pēpi, Mate Whaea Hoki&lt;/style&gt;&lt;/title&gt;&lt;/titles&gt;&lt;number&gt;18 May 2023&lt;/number&gt;&lt;dates&gt;&lt;year&gt;2022&lt;/year&gt;&lt;/dates&gt;&lt;urls&gt;&lt;related-urls&gt;&lt;url&gt;www.hqsc.govt.nz/assets/Our-work/Mortality-review-committee/PMMRC/Publications-resources/15thPMMRC-report-final.pdf&lt;/url&gt;&lt;/related-urls&gt;&lt;/urls&gt;&lt;/record&gt;&lt;/Cite&gt;&lt;/EndNote&gt;</w:instrText>
      </w:r>
      <w:r w:rsidRPr="0007414B">
        <w:rPr>
          <w:rFonts w:cs="Segoe UI"/>
          <w:lang w:eastAsia="en-NZ"/>
        </w:rPr>
        <w:fldChar w:fldCharType="separate"/>
      </w:r>
      <w:r w:rsidRPr="0007414B">
        <w:rPr>
          <w:rFonts w:cs="Segoe UI"/>
          <w:noProof/>
          <w:lang w:eastAsia="en-NZ"/>
        </w:rPr>
        <w:t>(Te Tāhū Hauora 2022a)</w:t>
      </w:r>
      <w:r w:rsidRPr="0007414B">
        <w:rPr>
          <w:rFonts w:cs="Segoe UI"/>
          <w:lang w:eastAsia="en-NZ"/>
        </w:rPr>
        <w:fldChar w:fldCharType="end"/>
      </w:r>
      <w:r w:rsidRPr="0007414B">
        <w:rPr>
          <w:rFonts w:cs="Segoe UI"/>
          <w:lang w:eastAsia="en-NZ"/>
        </w:rPr>
        <w:t xml:space="preserve">, inequities based on ethnic group, deprivation level and age persist in all mortality review findings. The Committee reported Māori, Pacific peoples, Indian populations, those under 20 years old and people living in areas of high deprivation experience worse pregnancy and childbirth outcomes than the New Zealand European population. In addition, wāhine Māori, Pacific women and women living in higher deprivation areas suffer a greater burden of maternal mortality </w:t>
      </w:r>
      <w:r w:rsidRPr="0007414B">
        <w:rPr>
          <w:rFonts w:cs="Segoe UI"/>
          <w:lang w:eastAsia="en-NZ"/>
        </w:rPr>
        <w:fldChar w:fldCharType="begin"/>
      </w:r>
      <w:r>
        <w:rPr>
          <w:rFonts w:cs="Segoe UI"/>
          <w:lang w:eastAsia="en-NZ"/>
        </w:rPr>
        <w:instrText xml:space="preserve"> ADDIN EN.CITE &lt;EndNote&gt;&lt;Cite&gt;&lt;Author&gt;Te Tāhū Hauora&lt;/Author&gt;&lt;Year&gt;2022&lt;/Year&gt;&lt;RecNum&gt;292&lt;/RecNum&gt;&lt;DisplayText&gt;(Te Tāhū Hauora 2022b)&lt;/DisplayText&gt;&lt;record&gt;&lt;rec-number&gt;292&lt;/rec-number&gt;&lt;foreign-keys&gt;&lt;key app="EN" db-id="aaepvppzs5wtfse95vsp2wahsrtvva2vvdet" timestamp="1683251089"&gt;292&lt;/key&gt;&lt;/foreign-keys&gt;&lt;ref-type name="Web Page"&gt;12&lt;/ref-type&gt;&lt;contributors&gt;&lt;authors&gt;&lt;author&gt;&lt;style face="normal" font="default" size="100%"&gt;Te T&lt;/style&gt;&lt;style face="normal" font="default" charset="238" size="100%"&gt;āhū Hauora,&lt;/style&gt;&lt;/author&gt;&lt;/authors&gt;&lt;/contributors&gt;&lt;titles&gt;&lt;title&gt;Information about deaths of babies and mothers in Aotearoa New Zealand&lt;/title&gt;&lt;/titles&gt;&lt;number&gt;5 May 2023&lt;/number&gt;&lt;dates&gt;&lt;year&gt;2022&lt;/year&gt;&lt;/dates&gt;&lt;urls&gt;&lt;related-urls&gt;&lt;url&gt;www.hqsc.govt.nz/our-work/mortality-review-committees/perinatal-and-maternal-mortality-review-committee/information-about-deaths-of-babies-and-mothers-in-aotearoa-new-zealand/&lt;/url&gt;&lt;/related-urls&gt;&lt;/urls&gt;&lt;/record&gt;&lt;/Cite&gt;&lt;/EndNote&gt;</w:instrText>
      </w:r>
      <w:r w:rsidRPr="0007414B">
        <w:rPr>
          <w:rFonts w:cs="Segoe UI"/>
          <w:lang w:eastAsia="en-NZ"/>
        </w:rPr>
        <w:fldChar w:fldCharType="separate"/>
      </w:r>
      <w:r w:rsidRPr="0007414B">
        <w:rPr>
          <w:rFonts w:cs="Segoe UI"/>
          <w:noProof/>
          <w:lang w:eastAsia="en-NZ"/>
        </w:rPr>
        <w:t>(Te Tāhū Hauora 2022b)</w:t>
      </w:r>
      <w:r w:rsidRPr="0007414B">
        <w:rPr>
          <w:rFonts w:cs="Segoe UI"/>
          <w:lang w:eastAsia="en-NZ"/>
        </w:rPr>
        <w:fldChar w:fldCharType="end"/>
      </w:r>
      <w:r w:rsidRPr="0007414B">
        <w:rPr>
          <w:rFonts w:cs="Segoe UI"/>
          <w:lang w:eastAsia="en-NZ"/>
        </w:rPr>
        <w:t xml:space="preserve">.  </w:t>
      </w:r>
    </w:p>
    <w:p w14:paraId="04674C11" w14:textId="77777777" w:rsidR="00D23483" w:rsidRPr="0007414B" w:rsidRDefault="00D23483" w:rsidP="00D23483">
      <w:pPr>
        <w:rPr>
          <w:rFonts w:cs="Segoe UI"/>
          <w:lang w:eastAsia="en-NZ"/>
        </w:rPr>
      </w:pPr>
    </w:p>
    <w:p w14:paraId="09DDEB04" w14:textId="77777777" w:rsidR="00D23483" w:rsidRPr="0007414B" w:rsidRDefault="00D23483" w:rsidP="00D23483">
      <w:pPr>
        <w:rPr>
          <w:rFonts w:cs="Segoe UI"/>
        </w:rPr>
      </w:pPr>
      <w:r w:rsidRPr="0007414B">
        <w:rPr>
          <w:rFonts w:cs="Segoe UI"/>
        </w:rPr>
        <w:t>In 2020, infant death rates were significantly higher among Māori (6.1 per 1,000 live births) and Pacific peoples (7.1) than rates for Asian peoples (3.0). In the previous 5-year period (2015–2019), infant death rates for Māori (5.4) and Pacific peoples (7.2) were significantly higher than rates for the European/other (3.6) and Asian (3.3) ethnic groups.</w:t>
      </w:r>
    </w:p>
    <w:p w14:paraId="218DACD5" w14:textId="77777777" w:rsidR="00D23483" w:rsidRPr="0007414B" w:rsidRDefault="00D23483" w:rsidP="00D23483">
      <w:pPr>
        <w:rPr>
          <w:rFonts w:cs="Segoe UI"/>
          <w:szCs w:val="21"/>
        </w:rPr>
      </w:pPr>
    </w:p>
    <w:p w14:paraId="470B6395" w14:textId="77777777" w:rsidR="00BE208D" w:rsidRPr="0007414B" w:rsidRDefault="00D23483" w:rsidP="00D23483">
      <w:pPr>
        <w:rPr>
          <w:rFonts w:cs="Segoe UI"/>
        </w:rPr>
      </w:pPr>
      <w:r w:rsidRPr="0007414B">
        <w:rPr>
          <w:rFonts w:cs="Segoe UI"/>
        </w:rPr>
        <w:t>In terms of deprivation level, the highest infant death rates in 2020 were for people living in the most deprived areas (quintile 5). At 6.7 deaths per 1,000 live births, their infant death rate was close to 2 times the rate of those in the least deprived areas (3.9 in quintile 1). Similar infant death rates by deprivation area were evident in the previous 5-year period between 2015 and 2019.</w:t>
      </w:r>
      <w:r w:rsidRPr="0007414B">
        <w:rPr>
          <w:rFonts w:cs="Segoe UI"/>
        </w:rPr>
        <w:fldChar w:fldCharType="begin"/>
      </w:r>
      <w:r w:rsidRPr="0007414B">
        <w:rPr>
          <w:rFonts w:cs="Segoe UI"/>
        </w:rPr>
        <w:instrText xml:space="preserve"> REF _Ref130968449 \h  \* MERGEFORMAT </w:instrText>
      </w:r>
      <w:r w:rsidRPr="0007414B">
        <w:rPr>
          <w:rFonts w:cs="Segoe UI"/>
        </w:rPr>
      </w:r>
      <w:r w:rsidRPr="0007414B">
        <w:rPr>
          <w:rFonts w:cs="Segoe UI"/>
        </w:rPr>
        <w:fldChar w:fldCharType="separate"/>
      </w:r>
    </w:p>
    <w:p w14:paraId="1AF82B0A" w14:textId="77777777" w:rsidR="00BE208D" w:rsidRPr="00BE208D" w:rsidRDefault="00BE208D" w:rsidP="00D23483">
      <w:pPr>
        <w:rPr>
          <w:rFonts w:cs="Segoe UI"/>
        </w:rPr>
      </w:pPr>
    </w:p>
    <w:p w14:paraId="310149AF" w14:textId="07442CBD" w:rsidR="00D23483" w:rsidRPr="0007414B" w:rsidRDefault="00BE208D" w:rsidP="00D23483">
      <w:pPr>
        <w:rPr>
          <w:rFonts w:cs="Segoe UI"/>
        </w:rPr>
      </w:pPr>
      <w:r w:rsidRPr="00BE208D">
        <w:rPr>
          <w:rFonts w:cs="Segoe UI"/>
        </w:rPr>
        <w:t>Figure 10</w:t>
      </w:r>
      <w:r w:rsidR="00D23483" w:rsidRPr="0007414B">
        <w:rPr>
          <w:rFonts w:cs="Segoe UI"/>
        </w:rPr>
        <w:fldChar w:fldCharType="end"/>
      </w:r>
      <w:r w:rsidR="00D23483" w:rsidRPr="0007414B">
        <w:rPr>
          <w:rFonts w:cs="Segoe UI"/>
        </w:rPr>
        <w:t xml:space="preserve"> shows the number and rate of fetal and infant deaths from 1996 to 2020.</w:t>
      </w:r>
      <w:bookmarkStart w:id="49" w:name="_Ref130968449"/>
    </w:p>
    <w:p w14:paraId="1974866F" w14:textId="77777777" w:rsidR="00D23483" w:rsidRPr="0007414B" w:rsidRDefault="00D23483" w:rsidP="00D23483">
      <w:pPr>
        <w:rPr>
          <w:rFonts w:cs="Segoe UI"/>
          <w:szCs w:val="21"/>
        </w:rPr>
      </w:pPr>
    </w:p>
    <w:p w14:paraId="26560B38" w14:textId="68EAB556" w:rsidR="00D23483" w:rsidRPr="0007414B" w:rsidRDefault="00D23483" w:rsidP="00D23483">
      <w:pPr>
        <w:pStyle w:val="Figure"/>
      </w:pPr>
      <w:bookmarkStart w:id="50" w:name="_Toc138326952"/>
      <w:bookmarkStart w:id="51" w:name="_Toc138409933"/>
      <w:r w:rsidRPr="0007414B">
        <w:lastRenderedPageBreak/>
        <w:t xml:space="preserve">Figure </w:t>
      </w:r>
      <w:r>
        <w:fldChar w:fldCharType="begin"/>
      </w:r>
      <w:r>
        <w:instrText>SEQ Figure \* ARABIC</w:instrText>
      </w:r>
      <w:r>
        <w:fldChar w:fldCharType="separate"/>
      </w:r>
      <w:r w:rsidR="00BE208D">
        <w:rPr>
          <w:noProof/>
        </w:rPr>
        <w:t>10</w:t>
      </w:r>
      <w:r>
        <w:fldChar w:fldCharType="end"/>
      </w:r>
      <w:bookmarkEnd w:id="49"/>
      <w:r w:rsidRPr="0007414B">
        <w:t>: Number and rate of fetal and infant deaths, 1996–2020</w:t>
      </w:r>
      <w:bookmarkEnd w:id="50"/>
      <w:bookmarkEnd w:id="51"/>
    </w:p>
    <w:p w14:paraId="4DF93457" w14:textId="77777777" w:rsidR="00D23483" w:rsidRPr="0007414B" w:rsidRDefault="00D23483" w:rsidP="00D23483">
      <w:pPr>
        <w:rPr>
          <w:rFonts w:eastAsia="Calibri Light" w:cs="Segoe UI"/>
          <w:sz w:val="20"/>
        </w:rPr>
      </w:pPr>
      <w:r w:rsidRPr="0007414B">
        <w:rPr>
          <w:noProof/>
        </w:rPr>
        <w:drawing>
          <wp:inline distT="0" distB="0" distL="0" distR="0" wp14:anchorId="27ACC566" wp14:editId="553AE89F">
            <wp:extent cx="5112114" cy="3195687"/>
            <wp:effectExtent l="0" t="0" r="0" b="5080"/>
            <wp:docPr id="1823296326" name="Picture 1823296326" descr="A bi-axis bar and line chart showing the number of infant and fetal deaths on the left axis and the rate of infant and fetal deaths on the right axis, for the period 1996 to 2020. The infant death rate and number of infant deaths generally decreased between 1996 and 2020, from 7.3 per 1,000 (417 deaths) in 1996 to 4.8 per 1,000 (278 deaths) in 2020. Between 1996 and 2020, fetal deaths fluctuated between a low of 6.1 per 1,000 (348 deaths) and a high 8.5 per 1,000 (556 deaths). In 1996 the fetal death rate was 7.1 per 1,000 (409 deaths). The numbers in 2020 were similar with a fetal death rate of 7.4 per 1,000 (434 dea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6" name="Picture 1823296326" descr="A bi-axis bar and line chart showing the number of infant and fetal deaths on the left axis and the rate of infant and fetal deaths on the right axis, for the period 1996 to 2020. The infant death rate and number of infant deaths generally decreased between 1996 and 2020, from 7.3 per 1,000 (417 deaths) in 1996 to 4.8 per 1,000 (278 deaths) in 2020. Between 1996 and 2020, fetal deaths fluctuated between a low of 6.1 per 1,000 (348 deaths) and a high 8.5 per 1,000 (556 deaths). In 1996 the fetal death rate was 7.1 per 1,000 (409 deaths). The numbers in 2020 were similar with a fetal death rate of 7.4 per 1,000 (434 deaths).&#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32637" cy="3208516"/>
                    </a:xfrm>
                    <a:prstGeom prst="rect">
                      <a:avLst/>
                    </a:prstGeom>
                  </pic:spPr>
                </pic:pic>
              </a:graphicData>
            </a:graphic>
          </wp:inline>
        </w:drawing>
      </w:r>
    </w:p>
    <w:p w14:paraId="6C59D501" w14:textId="77777777" w:rsidR="00D23483" w:rsidRPr="00E97236" w:rsidRDefault="00D23483" w:rsidP="00D23483">
      <w:pPr>
        <w:pStyle w:val="Note"/>
      </w:pPr>
      <w:r w:rsidRPr="00E97236">
        <w:t xml:space="preserve">Note: </w:t>
      </w:r>
      <w:r>
        <w:t>B</w:t>
      </w:r>
      <w:r w:rsidRPr="00E97236">
        <w:t xml:space="preserve">ars represent the </w:t>
      </w:r>
      <w:r w:rsidRPr="00E97236">
        <w:rPr>
          <w:b/>
        </w:rPr>
        <w:t>number</w:t>
      </w:r>
      <w:r w:rsidRPr="00E97236">
        <w:t xml:space="preserve"> of fetal/infant deaths and lines represent the </w:t>
      </w:r>
      <w:r w:rsidRPr="00E97236">
        <w:rPr>
          <w:b/>
        </w:rPr>
        <w:t>rate</w:t>
      </w:r>
      <w:r w:rsidRPr="00E97236">
        <w:t xml:space="preserve"> of fetal/infant deaths. Fetal death rate is the number of deaths per 1,000 total births. Infant death rate is the number of deaths per 1,000 live births.</w:t>
      </w:r>
    </w:p>
    <w:p w14:paraId="4D4D7AAD" w14:textId="77777777" w:rsidR="00D23483" w:rsidRPr="00D23483" w:rsidRDefault="00D23483" w:rsidP="00D23483">
      <w:pPr>
        <w:pStyle w:val="Source"/>
        <w:rPr>
          <w:rFonts w:eastAsia="Calibri Light"/>
        </w:rPr>
      </w:pPr>
      <w:r w:rsidRPr="00D23483">
        <w:rPr>
          <w:rFonts w:eastAsia="Calibri Light"/>
        </w:rPr>
        <w:t xml:space="preserve">Source: </w:t>
      </w:r>
      <w:hyperlink r:id="rId50">
        <w:r w:rsidRPr="00D23483">
          <w:rPr>
            <w:rStyle w:val="Hyperlink"/>
            <w:rFonts w:eastAsia="Calibri Light"/>
          </w:rPr>
          <w:t>Te Whatu Ora (2023g</w:t>
        </w:r>
      </w:hyperlink>
      <w:r w:rsidRPr="00D23483">
        <w:rPr>
          <w:rStyle w:val="Hyperlink"/>
          <w:rFonts w:eastAsia="Calibri Light"/>
        </w:rPr>
        <w:t>)</w:t>
      </w:r>
    </w:p>
    <w:p w14:paraId="2AA89585" w14:textId="76D25DDD" w:rsidR="001A4831" w:rsidRDefault="001A4831" w:rsidP="001A4831">
      <w:pPr>
        <w:pStyle w:val="Heading3"/>
      </w:pPr>
      <w:r w:rsidRPr="001A4831">
        <w:t>Health expectancy</w:t>
      </w:r>
    </w:p>
    <w:p w14:paraId="7F67D8B9" w14:textId="18B77FD3" w:rsidR="001A4831" w:rsidRDefault="00D23483" w:rsidP="00D23483">
      <w:r w:rsidRPr="00D23483">
        <w:t>Health expectancy represents the number of years it is expected that people will live in good health (Manatū Hauora 2020c). Although both life expectancy and health expectancy have increased over time, the number of expected years in good health at birth has slowed since 2010, while the number of expected years in poor health has continued to climb (Institute for Health Metrics and Evaluation 2020a). This means that, while New Zealanders are living longer, they are also spending more time in poor health.</w:t>
      </w:r>
    </w:p>
    <w:p w14:paraId="52AF8BD5" w14:textId="77777777" w:rsidR="00D23483" w:rsidRDefault="00D23483" w:rsidP="001A4831"/>
    <w:p w14:paraId="21E2A7CD" w14:textId="0A8BDAFD" w:rsidR="001A4831" w:rsidRDefault="001A4831" w:rsidP="001A4831">
      <w:pPr>
        <w:pStyle w:val="Table"/>
      </w:pPr>
      <w:bookmarkStart w:id="52" w:name="_Ref138408182"/>
      <w:bookmarkStart w:id="53" w:name="_Ref137147610"/>
      <w:bookmarkStart w:id="54" w:name="_Toc138326998"/>
      <w:bookmarkStart w:id="55" w:name="_Toc138409979"/>
      <w:r>
        <w:t xml:space="preserve">Table </w:t>
      </w:r>
      <w:fldSimple w:instr=" SEQ Table \* ARABIC ">
        <w:r w:rsidR="00BE208D">
          <w:rPr>
            <w:noProof/>
          </w:rPr>
          <w:t>3</w:t>
        </w:r>
      </w:fldSimple>
      <w:bookmarkEnd w:id="52"/>
      <w:r>
        <w:t xml:space="preserve">: </w:t>
      </w:r>
      <w:r w:rsidRPr="0007414B">
        <w:t>Health and life expectancy, by gender, 1990–1999, 2000–2009 and 2010–2019</w:t>
      </w:r>
      <w:bookmarkEnd w:id="53"/>
      <w:bookmarkEnd w:id="54"/>
      <w:bookmarkEnd w:id="55"/>
    </w:p>
    <w:tbl>
      <w:tblPr>
        <w:tblStyle w:val="TableGrid2"/>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636"/>
        <w:gridCol w:w="1615"/>
        <w:gridCol w:w="1447"/>
        <w:gridCol w:w="1596"/>
        <w:gridCol w:w="1785"/>
      </w:tblGrid>
      <w:tr w:rsidR="001A4831" w:rsidRPr="001A4831" w14:paraId="215E5AE7" w14:textId="77777777" w:rsidTr="001A4831">
        <w:tc>
          <w:tcPr>
            <w:tcW w:w="1636" w:type="dxa"/>
            <w:tcBorders>
              <w:top w:val="nil"/>
              <w:bottom w:val="nil"/>
            </w:tcBorders>
            <w:shd w:val="clear" w:color="auto" w:fill="D9D9D9" w:themeFill="background1" w:themeFillShade="D9"/>
          </w:tcPr>
          <w:p w14:paraId="7B51D603" w14:textId="77777777" w:rsidR="001A4831" w:rsidRPr="001A4831" w:rsidRDefault="001A4831" w:rsidP="001A4831">
            <w:pPr>
              <w:pStyle w:val="TableText"/>
              <w:rPr>
                <w:b/>
                <w:bCs/>
              </w:rPr>
            </w:pPr>
            <w:r w:rsidRPr="001A4831">
              <w:rPr>
                <w:b/>
                <w:bCs/>
              </w:rPr>
              <w:t>Decade</w:t>
            </w:r>
          </w:p>
        </w:tc>
        <w:tc>
          <w:tcPr>
            <w:tcW w:w="1615" w:type="dxa"/>
            <w:tcBorders>
              <w:top w:val="nil"/>
              <w:bottom w:val="nil"/>
            </w:tcBorders>
            <w:shd w:val="clear" w:color="auto" w:fill="D9D9D9" w:themeFill="background1" w:themeFillShade="D9"/>
          </w:tcPr>
          <w:p w14:paraId="0D8C27B4" w14:textId="77777777" w:rsidR="001A4831" w:rsidRPr="001A4831" w:rsidRDefault="001A4831" w:rsidP="001A4831">
            <w:pPr>
              <w:pStyle w:val="TableText"/>
              <w:rPr>
                <w:b/>
                <w:bCs/>
              </w:rPr>
            </w:pPr>
            <w:r w:rsidRPr="001A4831">
              <w:rPr>
                <w:b/>
                <w:bCs/>
              </w:rPr>
              <w:t>Gender</w:t>
            </w:r>
          </w:p>
        </w:tc>
        <w:tc>
          <w:tcPr>
            <w:tcW w:w="1447" w:type="dxa"/>
            <w:tcBorders>
              <w:top w:val="nil"/>
              <w:bottom w:val="nil"/>
            </w:tcBorders>
            <w:shd w:val="clear" w:color="auto" w:fill="D9D9D9" w:themeFill="background1" w:themeFillShade="D9"/>
          </w:tcPr>
          <w:p w14:paraId="54DBEC8C" w14:textId="77777777" w:rsidR="001A4831" w:rsidRPr="001A4831" w:rsidRDefault="001A4831" w:rsidP="001A4831">
            <w:pPr>
              <w:pStyle w:val="TableText"/>
              <w:jc w:val="center"/>
              <w:rPr>
                <w:b/>
                <w:bCs/>
              </w:rPr>
            </w:pPr>
            <w:r w:rsidRPr="001A4831">
              <w:rPr>
                <w:b/>
                <w:bCs/>
              </w:rPr>
              <w:t>Years in good health</w:t>
            </w:r>
          </w:p>
        </w:tc>
        <w:tc>
          <w:tcPr>
            <w:tcW w:w="1596" w:type="dxa"/>
            <w:tcBorders>
              <w:top w:val="nil"/>
              <w:bottom w:val="nil"/>
            </w:tcBorders>
            <w:shd w:val="clear" w:color="auto" w:fill="D9D9D9" w:themeFill="background1" w:themeFillShade="D9"/>
          </w:tcPr>
          <w:p w14:paraId="140E8DA1" w14:textId="77777777" w:rsidR="001A4831" w:rsidRPr="001A4831" w:rsidRDefault="001A4831" w:rsidP="001A4831">
            <w:pPr>
              <w:pStyle w:val="TableText"/>
              <w:jc w:val="center"/>
              <w:rPr>
                <w:b/>
                <w:bCs/>
              </w:rPr>
            </w:pPr>
            <w:r w:rsidRPr="001A4831">
              <w:rPr>
                <w:b/>
                <w:bCs/>
              </w:rPr>
              <w:t>Years in poor health</w:t>
            </w:r>
          </w:p>
        </w:tc>
        <w:tc>
          <w:tcPr>
            <w:tcW w:w="1785" w:type="dxa"/>
            <w:tcBorders>
              <w:top w:val="nil"/>
              <w:bottom w:val="nil"/>
            </w:tcBorders>
            <w:shd w:val="clear" w:color="auto" w:fill="D9D9D9" w:themeFill="background1" w:themeFillShade="D9"/>
          </w:tcPr>
          <w:p w14:paraId="0D5C1A01" w14:textId="77777777" w:rsidR="001A4831" w:rsidRPr="001A4831" w:rsidRDefault="001A4831" w:rsidP="001A4831">
            <w:pPr>
              <w:pStyle w:val="TableText"/>
              <w:jc w:val="center"/>
              <w:rPr>
                <w:b/>
                <w:bCs/>
              </w:rPr>
            </w:pPr>
            <w:r w:rsidRPr="001A4831">
              <w:rPr>
                <w:b/>
                <w:bCs/>
              </w:rPr>
              <w:t>Total life expectancy</w:t>
            </w:r>
          </w:p>
        </w:tc>
      </w:tr>
      <w:tr w:rsidR="001A4831" w:rsidRPr="001A4831" w14:paraId="69A4FF49" w14:textId="77777777" w:rsidTr="001A4831">
        <w:tc>
          <w:tcPr>
            <w:tcW w:w="1636" w:type="dxa"/>
            <w:vMerge w:val="restart"/>
            <w:tcBorders>
              <w:top w:val="nil"/>
            </w:tcBorders>
            <w:vAlign w:val="center"/>
          </w:tcPr>
          <w:p w14:paraId="3BD20EC9" w14:textId="77777777" w:rsidR="001A4831" w:rsidRPr="001A4831" w:rsidRDefault="001A4831" w:rsidP="001A4831">
            <w:pPr>
              <w:pStyle w:val="TableText"/>
            </w:pPr>
            <w:r w:rsidRPr="001A4831">
              <w:t>1990–1999</w:t>
            </w:r>
          </w:p>
        </w:tc>
        <w:tc>
          <w:tcPr>
            <w:tcW w:w="1615" w:type="dxa"/>
            <w:tcBorders>
              <w:top w:val="nil"/>
            </w:tcBorders>
          </w:tcPr>
          <w:p w14:paraId="048DF7B6" w14:textId="77777777" w:rsidR="001A4831" w:rsidRPr="001A4831" w:rsidRDefault="001A4831" w:rsidP="001A4831">
            <w:pPr>
              <w:pStyle w:val="TableText"/>
            </w:pPr>
            <w:r w:rsidRPr="001A4831">
              <w:t>Men</w:t>
            </w:r>
          </w:p>
        </w:tc>
        <w:tc>
          <w:tcPr>
            <w:tcW w:w="1447" w:type="dxa"/>
            <w:tcBorders>
              <w:top w:val="nil"/>
            </w:tcBorders>
          </w:tcPr>
          <w:p w14:paraId="5564A78E" w14:textId="77777777" w:rsidR="001A4831" w:rsidRPr="001A4831" w:rsidRDefault="001A4831" w:rsidP="001A4831">
            <w:pPr>
              <w:pStyle w:val="TableText"/>
              <w:jc w:val="center"/>
            </w:pPr>
            <w:r w:rsidRPr="001A4831">
              <w:t>64.3</w:t>
            </w:r>
          </w:p>
        </w:tc>
        <w:tc>
          <w:tcPr>
            <w:tcW w:w="1596" w:type="dxa"/>
            <w:tcBorders>
              <w:top w:val="nil"/>
            </w:tcBorders>
          </w:tcPr>
          <w:p w14:paraId="117CD365" w14:textId="77777777" w:rsidR="001A4831" w:rsidRPr="001A4831" w:rsidRDefault="001A4831" w:rsidP="001A4831">
            <w:pPr>
              <w:pStyle w:val="TableText"/>
              <w:jc w:val="center"/>
            </w:pPr>
            <w:r w:rsidRPr="001A4831">
              <w:t>9.7</w:t>
            </w:r>
          </w:p>
        </w:tc>
        <w:tc>
          <w:tcPr>
            <w:tcW w:w="1785" w:type="dxa"/>
            <w:tcBorders>
              <w:top w:val="nil"/>
            </w:tcBorders>
          </w:tcPr>
          <w:p w14:paraId="7CC6973D" w14:textId="77777777" w:rsidR="001A4831" w:rsidRPr="001A4831" w:rsidRDefault="001A4831" w:rsidP="001A4831">
            <w:pPr>
              <w:pStyle w:val="TableText"/>
              <w:jc w:val="center"/>
            </w:pPr>
            <w:r w:rsidRPr="001A4831">
              <w:t>74.0</w:t>
            </w:r>
          </w:p>
        </w:tc>
      </w:tr>
      <w:tr w:rsidR="001A4831" w:rsidRPr="001A4831" w14:paraId="7382468E" w14:textId="77777777" w:rsidTr="001A4831">
        <w:tc>
          <w:tcPr>
            <w:tcW w:w="1636" w:type="dxa"/>
            <w:vMerge/>
            <w:vAlign w:val="center"/>
          </w:tcPr>
          <w:p w14:paraId="79E284BC" w14:textId="77777777" w:rsidR="001A4831" w:rsidRPr="001A4831" w:rsidRDefault="001A4831" w:rsidP="001A4831">
            <w:pPr>
              <w:pStyle w:val="TableText"/>
            </w:pPr>
          </w:p>
        </w:tc>
        <w:tc>
          <w:tcPr>
            <w:tcW w:w="1615" w:type="dxa"/>
          </w:tcPr>
          <w:p w14:paraId="020B0BC0" w14:textId="77777777" w:rsidR="001A4831" w:rsidRPr="001A4831" w:rsidRDefault="001A4831" w:rsidP="001A4831">
            <w:pPr>
              <w:pStyle w:val="TableText"/>
            </w:pPr>
            <w:r w:rsidRPr="001A4831">
              <w:t>Women</w:t>
            </w:r>
          </w:p>
        </w:tc>
        <w:tc>
          <w:tcPr>
            <w:tcW w:w="1447" w:type="dxa"/>
          </w:tcPr>
          <w:p w14:paraId="7CCE6424" w14:textId="77777777" w:rsidR="001A4831" w:rsidRPr="001A4831" w:rsidRDefault="001A4831" w:rsidP="001A4831">
            <w:pPr>
              <w:pStyle w:val="TableText"/>
              <w:jc w:val="center"/>
            </w:pPr>
            <w:r w:rsidRPr="001A4831">
              <w:t>67.1</w:t>
            </w:r>
          </w:p>
        </w:tc>
        <w:tc>
          <w:tcPr>
            <w:tcW w:w="1596" w:type="dxa"/>
          </w:tcPr>
          <w:p w14:paraId="14E4BD68" w14:textId="77777777" w:rsidR="001A4831" w:rsidRPr="001A4831" w:rsidRDefault="001A4831" w:rsidP="001A4831">
            <w:pPr>
              <w:pStyle w:val="TableText"/>
              <w:jc w:val="center"/>
            </w:pPr>
            <w:r w:rsidRPr="001A4831">
              <w:t>12.4</w:t>
            </w:r>
          </w:p>
        </w:tc>
        <w:tc>
          <w:tcPr>
            <w:tcW w:w="1785" w:type="dxa"/>
          </w:tcPr>
          <w:p w14:paraId="264300CC" w14:textId="77777777" w:rsidR="001A4831" w:rsidRPr="001A4831" w:rsidRDefault="001A4831" w:rsidP="001A4831">
            <w:pPr>
              <w:pStyle w:val="TableText"/>
              <w:jc w:val="center"/>
            </w:pPr>
            <w:r w:rsidRPr="001A4831">
              <w:t>79.5</w:t>
            </w:r>
          </w:p>
        </w:tc>
      </w:tr>
      <w:tr w:rsidR="001A4831" w:rsidRPr="001A4831" w14:paraId="41B52D24" w14:textId="77777777" w:rsidTr="001A4831">
        <w:tc>
          <w:tcPr>
            <w:tcW w:w="1636" w:type="dxa"/>
            <w:vMerge w:val="restart"/>
            <w:vAlign w:val="center"/>
          </w:tcPr>
          <w:p w14:paraId="67D9BB7B" w14:textId="77777777" w:rsidR="001A4831" w:rsidRPr="001A4831" w:rsidRDefault="001A4831" w:rsidP="001A4831">
            <w:pPr>
              <w:pStyle w:val="TableText"/>
            </w:pPr>
            <w:r w:rsidRPr="001A4831">
              <w:t>2000–2009</w:t>
            </w:r>
          </w:p>
        </w:tc>
        <w:tc>
          <w:tcPr>
            <w:tcW w:w="1615" w:type="dxa"/>
          </w:tcPr>
          <w:p w14:paraId="26FA4E4D" w14:textId="77777777" w:rsidR="001A4831" w:rsidRPr="001A4831" w:rsidRDefault="001A4831" w:rsidP="001A4831">
            <w:pPr>
              <w:pStyle w:val="TableText"/>
            </w:pPr>
            <w:r w:rsidRPr="001A4831">
              <w:t>Men</w:t>
            </w:r>
          </w:p>
        </w:tc>
        <w:tc>
          <w:tcPr>
            <w:tcW w:w="1447" w:type="dxa"/>
          </w:tcPr>
          <w:p w14:paraId="6B9ABA09" w14:textId="77777777" w:rsidR="001A4831" w:rsidRPr="001A4831" w:rsidRDefault="001A4831" w:rsidP="001A4831">
            <w:pPr>
              <w:pStyle w:val="TableText"/>
              <w:jc w:val="center"/>
            </w:pPr>
            <w:r w:rsidRPr="001A4831">
              <w:t>67.1</w:t>
            </w:r>
          </w:p>
        </w:tc>
        <w:tc>
          <w:tcPr>
            <w:tcW w:w="1596" w:type="dxa"/>
          </w:tcPr>
          <w:p w14:paraId="29DFD1D9" w14:textId="77777777" w:rsidR="001A4831" w:rsidRPr="001A4831" w:rsidRDefault="001A4831" w:rsidP="001A4831">
            <w:pPr>
              <w:pStyle w:val="TableText"/>
              <w:jc w:val="center"/>
            </w:pPr>
            <w:r w:rsidRPr="001A4831">
              <w:t>10.2</w:t>
            </w:r>
          </w:p>
        </w:tc>
        <w:tc>
          <w:tcPr>
            <w:tcW w:w="1785" w:type="dxa"/>
          </w:tcPr>
          <w:p w14:paraId="0A823EF0" w14:textId="77777777" w:rsidR="001A4831" w:rsidRPr="001A4831" w:rsidRDefault="001A4831" w:rsidP="001A4831">
            <w:pPr>
              <w:pStyle w:val="TableText"/>
              <w:jc w:val="center"/>
            </w:pPr>
            <w:r w:rsidRPr="001A4831">
              <w:t>77.3</w:t>
            </w:r>
          </w:p>
        </w:tc>
      </w:tr>
      <w:tr w:rsidR="001A4831" w:rsidRPr="001A4831" w14:paraId="7591A196" w14:textId="77777777" w:rsidTr="001A4831">
        <w:tc>
          <w:tcPr>
            <w:tcW w:w="1636" w:type="dxa"/>
            <w:vMerge/>
            <w:vAlign w:val="center"/>
          </w:tcPr>
          <w:p w14:paraId="5E91A182" w14:textId="77777777" w:rsidR="001A4831" w:rsidRPr="001A4831" w:rsidRDefault="001A4831" w:rsidP="001A4831">
            <w:pPr>
              <w:pStyle w:val="TableText"/>
            </w:pPr>
          </w:p>
        </w:tc>
        <w:tc>
          <w:tcPr>
            <w:tcW w:w="1615" w:type="dxa"/>
          </w:tcPr>
          <w:p w14:paraId="13EDD37E" w14:textId="77777777" w:rsidR="001A4831" w:rsidRPr="001A4831" w:rsidRDefault="001A4831" w:rsidP="001A4831">
            <w:pPr>
              <w:pStyle w:val="TableText"/>
            </w:pPr>
            <w:r w:rsidRPr="001A4831">
              <w:t>Women</w:t>
            </w:r>
          </w:p>
        </w:tc>
        <w:tc>
          <w:tcPr>
            <w:tcW w:w="1447" w:type="dxa"/>
          </w:tcPr>
          <w:p w14:paraId="25D74564" w14:textId="77777777" w:rsidR="001A4831" w:rsidRPr="001A4831" w:rsidRDefault="001A4831" w:rsidP="001A4831">
            <w:pPr>
              <w:pStyle w:val="TableText"/>
              <w:jc w:val="center"/>
            </w:pPr>
            <w:r w:rsidRPr="001A4831">
              <w:t>69.1</w:t>
            </w:r>
          </w:p>
        </w:tc>
        <w:tc>
          <w:tcPr>
            <w:tcW w:w="1596" w:type="dxa"/>
          </w:tcPr>
          <w:p w14:paraId="4E8DE525" w14:textId="77777777" w:rsidR="001A4831" w:rsidRPr="001A4831" w:rsidRDefault="001A4831" w:rsidP="001A4831">
            <w:pPr>
              <w:pStyle w:val="TableText"/>
              <w:jc w:val="center"/>
            </w:pPr>
            <w:r w:rsidRPr="001A4831">
              <w:t>12.6</w:t>
            </w:r>
          </w:p>
        </w:tc>
        <w:tc>
          <w:tcPr>
            <w:tcW w:w="1785" w:type="dxa"/>
          </w:tcPr>
          <w:p w14:paraId="349C91C9" w14:textId="77777777" w:rsidR="001A4831" w:rsidRPr="001A4831" w:rsidRDefault="001A4831" w:rsidP="001A4831">
            <w:pPr>
              <w:pStyle w:val="TableText"/>
              <w:jc w:val="center"/>
            </w:pPr>
            <w:r w:rsidRPr="001A4831">
              <w:t>81.7</w:t>
            </w:r>
          </w:p>
        </w:tc>
      </w:tr>
      <w:tr w:rsidR="001A4831" w:rsidRPr="001A4831" w14:paraId="1B695993" w14:textId="77777777" w:rsidTr="001A4831">
        <w:tc>
          <w:tcPr>
            <w:tcW w:w="1636" w:type="dxa"/>
            <w:vMerge w:val="restart"/>
            <w:vAlign w:val="center"/>
          </w:tcPr>
          <w:p w14:paraId="6EF0E1F6" w14:textId="77777777" w:rsidR="001A4831" w:rsidRPr="001A4831" w:rsidRDefault="001A4831" w:rsidP="001A4831">
            <w:pPr>
              <w:pStyle w:val="TableText"/>
            </w:pPr>
            <w:r w:rsidRPr="001A4831">
              <w:t>2010–2019</w:t>
            </w:r>
          </w:p>
        </w:tc>
        <w:tc>
          <w:tcPr>
            <w:tcW w:w="1615" w:type="dxa"/>
          </w:tcPr>
          <w:p w14:paraId="2A199EEB" w14:textId="77777777" w:rsidR="001A4831" w:rsidRPr="001A4831" w:rsidRDefault="001A4831" w:rsidP="001A4831">
            <w:pPr>
              <w:pStyle w:val="TableText"/>
            </w:pPr>
            <w:r w:rsidRPr="001A4831">
              <w:t>Men</w:t>
            </w:r>
          </w:p>
        </w:tc>
        <w:tc>
          <w:tcPr>
            <w:tcW w:w="1447" w:type="dxa"/>
          </w:tcPr>
          <w:p w14:paraId="33F25D49" w14:textId="77777777" w:rsidR="001A4831" w:rsidRPr="001A4831" w:rsidRDefault="001A4831" w:rsidP="001A4831">
            <w:pPr>
              <w:pStyle w:val="TableText"/>
              <w:jc w:val="center"/>
            </w:pPr>
            <w:r w:rsidRPr="001A4831">
              <w:t>68.8</w:t>
            </w:r>
          </w:p>
        </w:tc>
        <w:tc>
          <w:tcPr>
            <w:tcW w:w="1596" w:type="dxa"/>
          </w:tcPr>
          <w:p w14:paraId="73F19108" w14:textId="77777777" w:rsidR="001A4831" w:rsidRPr="001A4831" w:rsidRDefault="001A4831" w:rsidP="001A4831">
            <w:pPr>
              <w:pStyle w:val="TableText"/>
              <w:jc w:val="center"/>
            </w:pPr>
            <w:r w:rsidRPr="001A4831">
              <w:t>10.8</w:t>
            </w:r>
          </w:p>
        </w:tc>
        <w:tc>
          <w:tcPr>
            <w:tcW w:w="1785" w:type="dxa"/>
          </w:tcPr>
          <w:p w14:paraId="1555E61B" w14:textId="77777777" w:rsidR="001A4831" w:rsidRPr="001A4831" w:rsidRDefault="001A4831" w:rsidP="001A4831">
            <w:pPr>
              <w:pStyle w:val="TableText"/>
              <w:jc w:val="center"/>
            </w:pPr>
            <w:r w:rsidRPr="001A4831">
              <w:t>79.7</w:t>
            </w:r>
          </w:p>
        </w:tc>
      </w:tr>
      <w:tr w:rsidR="001A4831" w:rsidRPr="001A4831" w14:paraId="141EFDB5" w14:textId="77777777" w:rsidTr="001A4831">
        <w:tc>
          <w:tcPr>
            <w:tcW w:w="1636" w:type="dxa"/>
            <w:vMerge/>
          </w:tcPr>
          <w:p w14:paraId="339E25FC" w14:textId="77777777" w:rsidR="001A4831" w:rsidRPr="001A4831" w:rsidRDefault="001A4831" w:rsidP="001A4831">
            <w:pPr>
              <w:pStyle w:val="TableText"/>
            </w:pPr>
          </w:p>
        </w:tc>
        <w:tc>
          <w:tcPr>
            <w:tcW w:w="1615" w:type="dxa"/>
          </w:tcPr>
          <w:p w14:paraId="5523F642" w14:textId="77777777" w:rsidR="001A4831" w:rsidRPr="001A4831" w:rsidRDefault="001A4831" w:rsidP="001A4831">
            <w:pPr>
              <w:pStyle w:val="TableText"/>
            </w:pPr>
            <w:r w:rsidRPr="001A4831">
              <w:t>Women</w:t>
            </w:r>
          </w:p>
        </w:tc>
        <w:tc>
          <w:tcPr>
            <w:tcW w:w="1447" w:type="dxa"/>
          </w:tcPr>
          <w:p w14:paraId="5FAB2747" w14:textId="77777777" w:rsidR="001A4831" w:rsidRPr="001A4831" w:rsidRDefault="001A4831" w:rsidP="001A4831">
            <w:pPr>
              <w:pStyle w:val="TableText"/>
              <w:jc w:val="center"/>
            </w:pPr>
            <w:r w:rsidRPr="001A4831">
              <w:t>70.2</w:t>
            </w:r>
          </w:p>
        </w:tc>
        <w:tc>
          <w:tcPr>
            <w:tcW w:w="1596" w:type="dxa"/>
          </w:tcPr>
          <w:p w14:paraId="440EBED0" w14:textId="77777777" w:rsidR="001A4831" w:rsidRPr="001A4831" w:rsidRDefault="001A4831" w:rsidP="001A4831">
            <w:pPr>
              <w:pStyle w:val="TableText"/>
              <w:jc w:val="center"/>
            </w:pPr>
            <w:r w:rsidRPr="001A4831">
              <w:t>13.1</w:t>
            </w:r>
          </w:p>
        </w:tc>
        <w:tc>
          <w:tcPr>
            <w:tcW w:w="1785" w:type="dxa"/>
          </w:tcPr>
          <w:p w14:paraId="04BAFA3F" w14:textId="77777777" w:rsidR="001A4831" w:rsidRPr="001A4831" w:rsidRDefault="001A4831" w:rsidP="001A4831">
            <w:pPr>
              <w:pStyle w:val="TableText"/>
              <w:jc w:val="center"/>
            </w:pPr>
            <w:r w:rsidRPr="001A4831">
              <w:t>83.4</w:t>
            </w:r>
          </w:p>
        </w:tc>
      </w:tr>
    </w:tbl>
    <w:p w14:paraId="396DB089" w14:textId="079414A8" w:rsidR="001A4831" w:rsidRPr="0007414B" w:rsidRDefault="001A4831" w:rsidP="001A4831">
      <w:pPr>
        <w:pStyle w:val="Source"/>
      </w:pPr>
      <w:r w:rsidRPr="001A4831">
        <w:t xml:space="preserve">Source: </w:t>
      </w:r>
      <w:hyperlink r:id="rId51" w:history="1">
        <w:r w:rsidRPr="001A4831">
          <w:rPr>
            <w:rStyle w:val="Hyperlink"/>
          </w:rPr>
          <w:t>Institute for Health Metrics and Evaluation (2020a)</w:t>
        </w:r>
      </w:hyperlink>
      <w:r>
        <w:t xml:space="preserve"> </w:t>
      </w:r>
      <w:r w:rsidRPr="001A4831">
        <w:t xml:space="preserve">and </w:t>
      </w:r>
      <w:hyperlink r:id="rId52" w:history="1">
        <w:r w:rsidRPr="001A4831">
          <w:rPr>
            <w:rStyle w:val="Hyperlink"/>
          </w:rPr>
          <w:t>Institute for Health Metrics and Evaluation (2020b)</w:t>
        </w:r>
      </w:hyperlink>
    </w:p>
    <w:p w14:paraId="6751AD45" w14:textId="6A4B74A5" w:rsidR="001A4831" w:rsidRDefault="001A4831" w:rsidP="004B1165">
      <w:pPr>
        <w:pStyle w:val="Heading2"/>
        <w:spacing w:before="0"/>
      </w:pPr>
      <w:bookmarkStart w:id="56" w:name="_Toc139030813"/>
      <w:r w:rsidRPr="001A4831">
        <w:lastRenderedPageBreak/>
        <w:t>Causes of health loss</w:t>
      </w:r>
      <w:bookmarkEnd w:id="56"/>
    </w:p>
    <w:p w14:paraId="46818BE8" w14:textId="69AB8CE0" w:rsidR="0041567E" w:rsidRPr="0007414B" w:rsidRDefault="0041567E" w:rsidP="0041567E">
      <w:pPr>
        <w:rPr>
          <w:rFonts w:cs="Segoe UI"/>
        </w:rPr>
      </w:pPr>
      <w:r w:rsidRPr="0007414B">
        <w:rPr>
          <w:rFonts w:cs="Segoe UI"/>
        </w:rPr>
        <w:t xml:space="preserve">Health loss is a measure of how much healthy life a person loses due to early death, illness or disability. The information in </w:t>
      </w:r>
      <w:r w:rsidRPr="0007414B">
        <w:rPr>
          <w:rFonts w:cs="Segoe UI"/>
        </w:rPr>
        <w:fldChar w:fldCharType="begin"/>
      </w:r>
      <w:r w:rsidRPr="0007414B">
        <w:rPr>
          <w:rFonts w:cs="Segoe UI"/>
        </w:rPr>
        <w:instrText xml:space="preserve"> REF _Ref135664436 \h </w:instrText>
      </w:r>
      <w:r w:rsidRPr="0007414B">
        <w:rPr>
          <w:rFonts w:cs="Segoe UI"/>
        </w:rPr>
      </w:r>
      <w:r w:rsidRPr="0007414B">
        <w:rPr>
          <w:rFonts w:cs="Segoe UI"/>
        </w:rPr>
        <w:fldChar w:fldCharType="separate"/>
      </w:r>
      <w:r w:rsidR="00BE208D">
        <w:t xml:space="preserve">Figure </w:t>
      </w:r>
      <w:r w:rsidR="00BE208D">
        <w:rPr>
          <w:noProof/>
        </w:rPr>
        <w:t>11</w:t>
      </w:r>
      <w:r w:rsidRPr="0007414B">
        <w:rPr>
          <w:rFonts w:cs="Segoe UI"/>
        </w:rPr>
        <w:fldChar w:fldCharType="end"/>
      </w:r>
      <w:r w:rsidRPr="0007414B">
        <w:rPr>
          <w:rFonts w:cs="Segoe UI"/>
        </w:rPr>
        <w:t xml:space="preserve"> </w:t>
      </w:r>
      <w:bookmarkStart w:id="57" w:name="_Hlk55806088"/>
      <w:bookmarkStart w:id="58" w:name="_Hlk55806078"/>
      <w:r w:rsidRPr="0007414B">
        <w:rPr>
          <w:rFonts w:cs="Segoe UI"/>
        </w:rPr>
        <w:t>comes from the Global Burden of Disease Study</w:t>
      </w:r>
      <w:bookmarkEnd w:id="57"/>
      <w:bookmarkEnd w:id="58"/>
      <w:r w:rsidRPr="0007414B">
        <w:rPr>
          <w:rFonts w:cs="Segoe UI"/>
        </w:rPr>
        <w:t xml:space="preserve"> 2019 (the most up-to-date data available). The Global Burden of Disease Study provides a comprehensive picture of mortality and disability worldwide, across countries, time, age and gender </w:t>
      </w:r>
      <w:r w:rsidRPr="0007414B">
        <w:rPr>
          <w:rFonts w:cs="Segoe UI"/>
        </w:rPr>
        <w:fldChar w:fldCharType="begin"/>
      </w:r>
      <w:r>
        <w:rPr>
          <w:rFonts w:cs="Segoe UI"/>
        </w:rPr>
        <w:instrText xml:space="preserve"> ADDIN EN.CITE &lt;EndNote&gt;&lt;Cite&gt;&lt;Author&gt;Institute for Health Metrics and Evaluation&lt;/Author&gt;&lt;Year&gt;2020&lt;/Year&gt;&lt;RecNum&gt;30&lt;/RecNum&gt;&lt;DisplayText&gt;(Institute for Health Metrics and Evaluation 2020a)&lt;/DisplayText&gt;&lt;record&gt;&lt;rec-number&gt;30&lt;/rec-number&gt;&lt;foreign-keys&gt;&lt;key app="EN" db-id="aaepvppzs5wtfse95vsp2wahsrtvva2vvdet" timestamp="1632282596"&gt;30&lt;/key&gt;&lt;/foreign-keys&gt;&lt;ref-type name="Web Page"&gt;12&lt;/ref-type&gt;&lt;contributors&gt;&lt;authors&gt;&lt;author&gt;Institute for Health Metrics and Evaluation,&lt;/author&gt;&lt;/authors&gt;&lt;/contributors&gt;&lt;titles&gt;&lt;title&gt;Global Burden of Disease (GBD)&lt;/title&gt;&lt;/titles&gt;&lt;number&gt;5 May 2023&lt;/number&gt;&lt;dates&gt;&lt;year&gt;2020&lt;/year&gt;&lt;/dates&gt;&lt;pub-location&gt;Seattle, WA: Institute for Health Metrics and Evaluation&lt;/pub-location&gt;&lt;urls&gt;&lt;related-urls&gt;&lt;url&gt;https://vizhub.healthdata.org/gbd-results/&lt;/url&gt;&lt;/related-urls&gt;&lt;/urls&gt;&lt;/record&gt;&lt;/Cite&gt;&lt;/EndNote&gt;</w:instrText>
      </w:r>
      <w:r w:rsidRPr="0007414B">
        <w:rPr>
          <w:rFonts w:cs="Segoe UI"/>
        </w:rPr>
        <w:fldChar w:fldCharType="separate"/>
      </w:r>
      <w:r>
        <w:rPr>
          <w:rFonts w:cs="Segoe UI"/>
          <w:noProof/>
        </w:rPr>
        <w:t>(Institute for Health Metrics and Evaluation 2020a)</w:t>
      </w:r>
      <w:r w:rsidRPr="0007414B">
        <w:rPr>
          <w:rFonts w:cs="Segoe UI"/>
        </w:rPr>
        <w:fldChar w:fldCharType="end"/>
      </w:r>
      <w:r w:rsidRPr="0007414B">
        <w:rPr>
          <w:rFonts w:cs="Segoe UI"/>
        </w:rPr>
        <w:t>.</w:t>
      </w:r>
    </w:p>
    <w:p w14:paraId="72E12882" w14:textId="77777777" w:rsidR="0041567E" w:rsidRPr="0007414B" w:rsidRDefault="0041567E" w:rsidP="0041567E">
      <w:pPr>
        <w:rPr>
          <w:rFonts w:cs="Segoe UI"/>
        </w:rPr>
      </w:pPr>
    </w:p>
    <w:p w14:paraId="00C75342" w14:textId="77777777" w:rsidR="0041567E" w:rsidRDefault="0041567E" w:rsidP="0041567E">
      <w:pPr>
        <w:rPr>
          <w:rFonts w:cs="Segoe UI"/>
        </w:rPr>
      </w:pPr>
      <w:r w:rsidRPr="0007414B">
        <w:rPr>
          <w:rFonts w:cs="Segoe UI"/>
        </w:rPr>
        <w:t xml:space="preserve">In Aotearoa New Zealand, non-communicable diseases (NCDs) are the leading cause of health loss </w:t>
      </w:r>
      <w:r w:rsidRPr="0007414B">
        <w:rPr>
          <w:rFonts w:cs="Segoe UI"/>
        </w:rPr>
        <w:fldChar w:fldCharType="begin"/>
      </w:r>
      <w:r>
        <w:rPr>
          <w:rFonts w:cs="Segoe UI"/>
        </w:rPr>
        <w:instrText xml:space="preserve"> ADDIN EN.CITE &lt;EndNote&gt;&lt;Cite&gt;&lt;Author&gt;Manatū Hauora&lt;/Author&gt;&lt;Year&gt;2020&lt;/Year&gt;&lt;RecNum&gt;24&lt;/RecNum&gt;&lt;DisplayText&gt;(Manatū Hauora 2020c)&lt;/DisplayText&gt;&lt;record&gt;&lt;rec-number&gt;24&lt;/rec-number&gt;&lt;foreign-keys&gt;&lt;key app="EN" db-id="aaepvppzs5wtfse95vsp2wahsrtvva2vvdet" timestamp="1632216400"&gt;24&lt;/key&gt;&lt;/foreign-keys&gt;&lt;ref-type name="Web Page"&gt;12&lt;/ref-type&gt;&lt;contributors&gt;&lt;authors&gt;&lt;author&gt;&lt;style face="normal" font="default" size="100%"&gt;Manat&lt;/style&gt;&lt;style face="normal" font="default" charset="238" size="100%"&gt;ū Hauora,&lt;/style&gt;&lt;/author&gt;&lt;/authors&gt;&lt;/contributors&gt;&lt;titles&gt;&lt;title&gt;Longer, Healthier Lives: New Zealand&amp;apos;s health 1990–2017&lt;/title&gt;&lt;/titles&gt;&lt;number&gt;4 May 2023&lt;/number&gt;&lt;dates&gt;&lt;year&gt;2020&lt;/year&gt;&lt;/dates&gt;&lt;urls&gt;&lt;related-urls&gt;&lt;url&gt;www.health.govt.nz/publication/longer-healthier-lives-new-zealands-health-1990-2017&lt;/url&gt;&lt;/related-urls&gt;&lt;/urls&gt;&lt;/record&gt;&lt;/Cite&gt;&lt;/EndNote&gt;</w:instrText>
      </w:r>
      <w:r w:rsidRPr="0007414B">
        <w:rPr>
          <w:rFonts w:cs="Segoe UI"/>
        </w:rPr>
        <w:fldChar w:fldCharType="separate"/>
      </w:r>
      <w:r w:rsidRPr="0007414B">
        <w:rPr>
          <w:rFonts w:cs="Segoe UI"/>
          <w:noProof/>
        </w:rPr>
        <w:t>(Manatū Hauora 2020c)</w:t>
      </w:r>
      <w:r w:rsidRPr="0007414B">
        <w:rPr>
          <w:rFonts w:cs="Segoe UI"/>
        </w:rPr>
        <w:fldChar w:fldCharType="end"/>
      </w:r>
      <w:r w:rsidRPr="0007414B">
        <w:rPr>
          <w:rFonts w:cs="Segoe UI"/>
        </w:rPr>
        <w:t xml:space="preserve">. NCDs, also known as chronic diseases, tend to last a long time and result from a combination of genetic, physiological, environmental and behavioural factors </w:t>
      </w:r>
      <w:r w:rsidRPr="0007414B">
        <w:rPr>
          <w:rFonts w:cs="Segoe UI"/>
        </w:rPr>
        <w:fldChar w:fldCharType="begin"/>
      </w:r>
      <w:r>
        <w:rPr>
          <w:rFonts w:cs="Segoe UI"/>
        </w:rPr>
        <w:instrText xml:space="preserve"> ADDIN EN.CITE &lt;EndNote&gt;&lt;Cite&gt;&lt;Author&gt;World Health Organization&lt;/Author&gt;&lt;Year&gt;2022&lt;/Year&gt;&lt;RecNum&gt;293&lt;/RecNum&gt;&lt;DisplayText&gt;(World Health Organization 2022)&lt;/DisplayText&gt;&lt;record&gt;&lt;rec-number&gt;293&lt;/rec-number&gt;&lt;foreign-keys&gt;&lt;key app="EN" db-id="aaepvppzs5wtfse95vsp2wahsrtvva2vvdet" timestamp="1683251805"&gt;293&lt;/key&gt;&lt;/foreign-keys&gt;&lt;ref-type name="Web Page"&gt;12&lt;/ref-type&gt;&lt;contributors&gt;&lt;authors&gt;&lt;author&gt;World Health Organization,&lt;/author&gt;&lt;/authors&gt;&lt;/contributors&gt;&lt;titles&gt;&lt;title&gt;Noncommunicable diseases&lt;/title&gt;&lt;/titles&gt;&lt;number&gt;5 May 2023&lt;/number&gt;&lt;dates&gt;&lt;year&gt;2022&lt;/year&gt;&lt;/dates&gt;&lt;urls&gt;&lt;related-urls&gt;&lt;url&gt;www.who.int/news-room/fact-sheets/detail/noncommunicable-diseases&lt;/url&gt;&lt;/related-urls&gt;&lt;/urls&gt;&lt;/record&gt;&lt;/Cite&gt;&lt;/EndNote&gt;</w:instrText>
      </w:r>
      <w:r w:rsidRPr="0007414B">
        <w:rPr>
          <w:rFonts w:cs="Segoe UI"/>
        </w:rPr>
        <w:fldChar w:fldCharType="separate"/>
      </w:r>
      <w:r>
        <w:rPr>
          <w:rFonts w:cs="Segoe UI"/>
          <w:noProof/>
        </w:rPr>
        <w:t>(World Health Organization 2022)</w:t>
      </w:r>
      <w:r w:rsidRPr="0007414B">
        <w:rPr>
          <w:rFonts w:cs="Segoe UI"/>
        </w:rPr>
        <w:fldChar w:fldCharType="end"/>
      </w:r>
      <w:r w:rsidRPr="0007414B">
        <w:rPr>
          <w:rFonts w:cs="Segoe UI"/>
        </w:rPr>
        <w:t>.</w:t>
      </w:r>
    </w:p>
    <w:p w14:paraId="0E75D37D" w14:textId="77777777" w:rsidR="0041567E" w:rsidRDefault="0041567E" w:rsidP="0041567E">
      <w:pPr>
        <w:rPr>
          <w:rFonts w:cs="Segoe UI"/>
        </w:rPr>
      </w:pPr>
    </w:p>
    <w:p w14:paraId="644141E0" w14:textId="175CB77C" w:rsidR="0041567E" w:rsidRPr="0007414B" w:rsidRDefault="0041567E" w:rsidP="0041567E">
      <w:pPr>
        <w:rPr>
          <w:rFonts w:cs="Segoe UI"/>
        </w:rPr>
      </w:pPr>
      <w:r>
        <w:rPr>
          <w:rFonts w:cs="Segoe UI"/>
        </w:rPr>
        <w:fldChar w:fldCharType="begin"/>
      </w:r>
      <w:r>
        <w:rPr>
          <w:rFonts w:cs="Segoe UI"/>
        </w:rPr>
        <w:instrText xml:space="preserve"> REF _Ref135664436 \h </w:instrText>
      </w:r>
      <w:r>
        <w:rPr>
          <w:rFonts w:cs="Segoe UI"/>
        </w:rPr>
      </w:r>
      <w:r>
        <w:rPr>
          <w:rFonts w:cs="Segoe UI"/>
        </w:rPr>
        <w:fldChar w:fldCharType="separate"/>
      </w:r>
      <w:r w:rsidR="00BE208D">
        <w:t xml:space="preserve">Figure </w:t>
      </w:r>
      <w:r w:rsidR="00BE208D">
        <w:rPr>
          <w:noProof/>
        </w:rPr>
        <w:t>11</w:t>
      </w:r>
      <w:r>
        <w:rPr>
          <w:rFonts w:cs="Segoe UI"/>
        </w:rPr>
        <w:fldChar w:fldCharType="end"/>
      </w:r>
      <w:r>
        <w:rPr>
          <w:rFonts w:cs="Segoe UI"/>
        </w:rPr>
        <w:t xml:space="preserve"> </w:t>
      </w:r>
      <w:r w:rsidRPr="0007414B">
        <w:rPr>
          <w:rFonts w:cs="Segoe UI"/>
        </w:rPr>
        <w:t>shows the top 10 causes of health loss (early death, illness or disability) in Aotearoa New Zealand in 2019 for both males and females, as measured by disability-adjusted life years (DALYs</w:t>
      </w:r>
      <w:r w:rsidRPr="0007414B">
        <w:rPr>
          <w:rStyle w:val="FootnoteReference"/>
          <w:rFonts w:cs="Segoe UI"/>
        </w:rPr>
        <w:footnoteReference w:id="11"/>
      </w:r>
      <w:r w:rsidRPr="0007414B">
        <w:rPr>
          <w:rFonts w:cs="Segoe UI"/>
        </w:rPr>
        <w:t xml:space="preserve">). The graph also shows the percentage change (the increase or decrease in DALYs) between 2009 and 2019 </w:t>
      </w:r>
      <w:r w:rsidRPr="0007414B">
        <w:rPr>
          <w:rFonts w:cs="Segoe UI"/>
        </w:rPr>
        <w:fldChar w:fldCharType="begin"/>
      </w:r>
      <w:r>
        <w:rPr>
          <w:rFonts w:cs="Segoe UI"/>
        </w:rPr>
        <w:instrText xml:space="preserve"> ADDIN EN.CITE &lt;EndNote&gt;&lt;Cite&gt;&lt;Author&gt;Institute for Health Metrics and Evaluation&lt;/Author&gt;&lt;Year&gt;2019&lt;/Year&gt;&lt;RecNum&gt;189&lt;/RecNum&gt;&lt;DisplayText&gt;(Institute for Health Metrics and Evaluation 2019)&lt;/DisplayText&gt;&lt;record&gt;&lt;rec-number&gt;189&lt;/rec-number&gt;&lt;foreign-keys&gt;&lt;key app="EN" db-id="aaepvppzs5wtfse95vsp2wahsrtvva2vvdet" timestamp="1663730556"&gt;189&lt;/key&gt;&lt;/foreign-keys&gt;&lt;ref-type name="Web Page"&gt;12&lt;/ref-type&gt;&lt;contributors&gt;&lt;authors&gt;&lt;author&gt;Institute for Health Metrics and Evaluation,&lt;/author&gt;&lt;/authors&gt;&lt;/contributors&gt;&lt;titles&gt;&lt;title&gt;New Zealand&lt;/title&gt;&lt;/titles&gt;&lt;number&gt;5 May 2023&lt;/number&gt;&lt;dates&gt;&lt;year&gt;2019&lt;/year&gt;&lt;/dates&gt;&lt;urls&gt;&lt;related-urls&gt;&lt;url&gt;www.healthdata.org/new-zealand&lt;/url&gt;&lt;/related-urls&gt;&lt;/urls&gt;&lt;/record&gt;&lt;/Cite&gt;&lt;/EndNote&gt;</w:instrText>
      </w:r>
      <w:r w:rsidRPr="0007414B">
        <w:rPr>
          <w:rFonts w:cs="Segoe UI"/>
        </w:rPr>
        <w:fldChar w:fldCharType="separate"/>
      </w:r>
      <w:r w:rsidRPr="0007414B">
        <w:rPr>
          <w:rFonts w:cs="Segoe UI"/>
          <w:noProof/>
        </w:rPr>
        <w:t>(Institute for Health Metrics and Evaluation 20</w:t>
      </w:r>
      <w:r>
        <w:rPr>
          <w:rFonts w:cs="Segoe UI"/>
          <w:noProof/>
        </w:rPr>
        <w:t>20a</w:t>
      </w:r>
      <w:r w:rsidRPr="0007414B">
        <w:rPr>
          <w:rFonts w:cs="Segoe UI"/>
          <w:noProof/>
        </w:rPr>
        <w:t>)</w:t>
      </w:r>
      <w:r w:rsidRPr="0007414B">
        <w:rPr>
          <w:rFonts w:cs="Segoe UI"/>
        </w:rPr>
        <w:fldChar w:fldCharType="end"/>
      </w:r>
      <w:r w:rsidRPr="0007414B">
        <w:rPr>
          <w:rFonts w:cs="Segoe UI"/>
        </w:rPr>
        <w:t xml:space="preserve">. Ischaemic heart disease was the number one cause of health loss in 2019 and had increased by </w:t>
      </w:r>
      <w:r>
        <w:rPr>
          <w:rFonts w:cs="Segoe UI"/>
        </w:rPr>
        <w:t>0</w:t>
      </w:r>
      <w:r w:rsidRPr="0007414B">
        <w:rPr>
          <w:rFonts w:cs="Segoe UI"/>
        </w:rPr>
        <w:t>.</w:t>
      </w:r>
      <w:r>
        <w:rPr>
          <w:rFonts w:cs="Segoe UI"/>
        </w:rPr>
        <w:t>4</w:t>
      </w:r>
      <w:r w:rsidRPr="0007414B">
        <w:rPr>
          <w:rFonts w:cs="Segoe UI"/>
        </w:rPr>
        <w:t xml:space="preserve">% since 2009. </w:t>
      </w:r>
      <w:r>
        <w:rPr>
          <w:rFonts w:cs="Segoe UI"/>
        </w:rPr>
        <w:t xml:space="preserve">The next largest causes of health loss in 2019 were low back pain and chronic obstructive pulmonary disorder, with an increase between 2009 and 2019 for both males and females for both conditions (2.5% and 13.0% respectively). </w:t>
      </w:r>
      <w:r w:rsidRPr="0007414B">
        <w:rPr>
          <w:rFonts w:cs="Segoe UI"/>
        </w:rPr>
        <w:t>The largest increase in health loss was for diabetes, which increased by 34.5% between 2009 and 2019.</w:t>
      </w:r>
      <w:r>
        <w:rPr>
          <w:rFonts w:cs="Segoe UI"/>
        </w:rPr>
        <w:t xml:space="preserve"> </w:t>
      </w:r>
    </w:p>
    <w:p w14:paraId="368908E4" w14:textId="77777777" w:rsidR="0041567E" w:rsidRDefault="0041567E" w:rsidP="0041567E">
      <w:pPr>
        <w:pStyle w:val="Caption"/>
      </w:pPr>
      <w:bookmarkStart w:id="59" w:name="_Ref130968839"/>
    </w:p>
    <w:p w14:paraId="4226D67D" w14:textId="6557C76C" w:rsidR="0041567E" w:rsidRPr="0007414B" w:rsidRDefault="0041567E" w:rsidP="0041567E">
      <w:pPr>
        <w:pStyle w:val="Figure"/>
      </w:pPr>
      <w:bookmarkStart w:id="60" w:name="_Ref135664436"/>
      <w:bookmarkStart w:id="61" w:name="_Toc138326953"/>
      <w:bookmarkStart w:id="62" w:name="_Toc138409934"/>
      <w:r>
        <w:lastRenderedPageBreak/>
        <w:t xml:space="preserve">Figure </w:t>
      </w:r>
      <w:fldSimple w:instr=" SEQ Figure \* ARABIC ">
        <w:r w:rsidR="00BE208D">
          <w:rPr>
            <w:noProof/>
          </w:rPr>
          <w:t>11</w:t>
        </w:r>
      </w:fldSimple>
      <w:bookmarkEnd w:id="59"/>
      <w:bookmarkEnd w:id="60"/>
      <w:r>
        <w:t>: Top 10 causes of death and disability for females and males, 2019, and percentage change between 2009 and 2019, as measured by disability-adjusted life years</w:t>
      </w:r>
      <w:bookmarkEnd w:id="61"/>
      <w:bookmarkEnd w:id="62"/>
      <w:r>
        <w:t xml:space="preserve"> </w:t>
      </w:r>
    </w:p>
    <w:p w14:paraId="66FF5412" w14:textId="77777777" w:rsidR="0041567E" w:rsidRPr="0007414B" w:rsidRDefault="0041567E" w:rsidP="0041567E">
      <w:r>
        <w:rPr>
          <w:noProof/>
        </w:rPr>
        <w:drawing>
          <wp:inline distT="0" distB="0" distL="0" distR="0" wp14:anchorId="143B4E15" wp14:editId="567C3631">
            <wp:extent cx="5109845" cy="5109845"/>
            <wp:effectExtent l="0" t="0" r="0" b="0"/>
            <wp:docPr id="923159739" name="Picture 923159739" descr="Two bar charts showing the percentage change in death and disability for males and females between 2009 and 2019. The charts show only the top 10 causes of death and disability in 2019. For females, the greatest percentage increase in death and disability was diabetes mellitus (34.3%), followed by falls (15.4%), and then chronic obstructive pulmonary disorder (11.7%). For males, the greatest percentage increase in death and disability was for diabetes mellitus (34.8%), followed by chronic obstructive pulmonary disorder (14.3%), and then colon and rectum cancer (13.8%). For both females and males, there was a percentage decrease in anxiety disorders, and for females also a percentage decrease in depressive disorders and ischaemic hear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59739" name="Picture 923159739" descr="Two bar charts showing the percentage change in death and disability for males and females between 2009 and 2019. The charts show only the top 10 causes of death and disability in 2019. For females, the greatest percentage increase in death and disability was diabetes mellitus (34.3%), followed by falls (15.4%), and then chronic obstructive pulmonary disorder (11.7%). For males, the greatest percentage increase in death and disability was for diabetes mellitus (34.8%), followed by chronic obstructive pulmonary disorder (14.3%), and then colon and rectum cancer (13.8%). For both females and males, there was a percentage decrease in anxiety disorders, and for females also a percentage decrease in depressive disorders and ischaemic heart disease."/>
                    <pic:cNvPicPr/>
                  </pic:nvPicPr>
                  <pic:blipFill>
                    <a:blip r:embed="rId53"/>
                    <a:stretch>
                      <a:fillRect/>
                    </a:stretch>
                  </pic:blipFill>
                  <pic:spPr>
                    <a:xfrm>
                      <a:off x="0" y="0"/>
                      <a:ext cx="5130444" cy="5130444"/>
                    </a:xfrm>
                    <a:prstGeom prst="rect">
                      <a:avLst/>
                    </a:prstGeom>
                  </pic:spPr>
                </pic:pic>
              </a:graphicData>
            </a:graphic>
          </wp:inline>
        </w:drawing>
      </w:r>
    </w:p>
    <w:p w14:paraId="6C492E7F" w14:textId="77777777" w:rsidR="0041567E" w:rsidRPr="0041567E" w:rsidRDefault="0041567E" w:rsidP="0041567E">
      <w:pPr>
        <w:pStyle w:val="Source"/>
      </w:pPr>
      <w:r w:rsidRPr="0041567E">
        <w:t xml:space="preserve">Source: </w:t>
      </w:r>
      <w:hyperlink r:id="rId54">
        <w:r w:rsidRPr="0041567E">
          <w:rPr>
            <w:rStyle w:val="Hyperlink"/>
          </w:rPr>
          <w:t>Institute for Health Metrics and Evaluation (2020a)</w:t>
        </w:r>
      </w:hyperlink>
    </w:p>
    <w:p w14:paraId="5652615B" w14:textId="77777777" w:rsidR="0041567E" w:rsidRPr="0007414B" w:rsidRDefault="0041567E" w:rsidP="0041567E">
      <w:pPr>
        <w:pStyle w:val="Heading3"/>
      </w:pPr>
      <w:r w:rsidRPr="0007414B">
        <w:t>Cardiovascular and cerebrovascular diseases</w:t>
      </w:r>
    </w:p>
    <w:p w14:paraId="316DCF41" w14:textId="77777777" w:rsidR="0041567E" w:rsidRPr="00EA45FE" w:rsidRDefault="0041567E" w:rsidP="0041567E">
      <w:pPr>
        <w:rPr>
          <w:rFonts w:cs="Segoe UI"/>
          <w:shd w:val="clear" w:color="auto" w:fill="FFFFFF"/>
        </w:rPr>
      </w:pPr>
      <w:r w:rsidRPr="00EA45FE">
        <w:rPr>
          <w:rFonts w:cs="Segoe UI"/>
          <w:shd w:val="clear" w:color="auto" w:fill="FFFFFF"/>
        </w:rPr>
        <w:t xml:space="preserve">After cancer, cardiovascular and cerebrovascular diseases (which include </w:t>
      </w:r>
      <w:r w:rsidRPr="0007414B">
        <w:rPr>
          <w:rFonts w:cs="Segoe UI"/>
        </w:rPr>
        <w:t>heart, stroke and blood vessel disease)</w:t>
      </w:r>
      <w:r w:rsidRPr="00EA45FE">
        <w:rPr>
          <w:rFonts w:cs="Segoe UI"/>
          <w:shd w:val="clear" w:color="auto" w:fill="FFFFFF"/>
        </w:rPr>
        <w:t xml:space="preserve"> are the leading causes of death in Aotearoa New Zealand </w:t>
      </w:r>
      <w:r w:rsidRPr="00EA45FE">
        <w:rPr>
          <w:rFonts w:cs="Segoe UI"/>
          <w:shd w:val="clear" w:color="auto" w:fill="FFFFFF"/>
        </w:rPr>
        <w:fldChar w:fldCharType="begin"/>
      </w:r>
      <w:r w:rsidRPr="0007414B">
        <w:rPr>
          <w:rFonts w:cs="Segoe UI"/>
          <w:color w:val="333333"/>
          <w:shd w:val="clear" w:color="auto" w:fill="FFFFFF"/>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EA45FE">
        <w:rPr>
          <w:rFonts w:cs="Segoe UI"/>
          <w:shd w:val="clear" w:color="auto" w:fill="FFFFFF"/>
        </w:rPr>
        <w:fldChar w:fldCharType="separate"/>
      </w:r>
      <w:r w:rsidRPr="00EA45FE">
        <w:rPr>
          <w:rFonts w:cs="Segoe UI"/>
          <w:shd w:val="clear" w:color="auto" w:fill="FFFFFF"/>
        </w:rPr>
        <w:t>(Te Whatu Ora 2023h)</w:t>
      </w:r>
      <w:r w:rsidRPr="00EA45FE">
        <w:rPr>
          <w:rFonts w:cs="Segoe UI"/>
          <w:shd w:val="clear" w:color="auto" w:fill="FFFFFF"/>
        </w:rPr>
        <w:fldChar w:fldCharType="end"/>
      </w:r>
      <w:r w:rsidRPr="00EA45FE">
        <w:rPr>
          <w:rFonts w:cs="Segoe UI"/>
          <w:shd w:val="clear" w:color="auto" w:fill="FFFFFF"/>
        </w:rPr>
        <w:t xml:space="preserve">. </w:t>
      </w:r>
      <w:r w:rsidRPr="00EA45FE">
        <w:rPr>
          <w:rFonts w:cs="Segoe UI"/>
        </w:rPr>
        <w:t xml:space="preserve">One in 23 adults were diagnosed with heart disease, which amounts to around 175,000 people </w:t>
      </w:r>
      <w:r w:rsidRPr="00EA45FE">
        <w:rPr>
          <w:rFonts w:cs="Segoe UI"/>
        </w:rPr>
        <w:fldChar w:fldCharType="begin"/>
      </w:r>
      <w:r w:rsidRPr="00EA45FE">
        <w:rPr>
          <w:rFonts w:cs="Segoe UI"/>
        </w:rPr>
        <w:instrText xml:space="preserve"> ADDIN EN.CITE &lt;EndNote&gt;&lt;Cite&gt;&lt;Author&gt;Heart Foundation&lt;/Author&gt;&lt;Year&gt;2023&lt;/Year&gt;&lt;RecNum&gt;294&lt;/RecNum&gt;&lt;DisplayText&gt;(Heart Foundation 2023)&lt;/DisplayText&gt;&lt;record&gt;&lt;rec-number&gt;294&lt;/rec-number&gt;&lt;foreign-keys&gt;&lt;key app="EN" db-id="aaepvppzs5wtfse95vsp2wahsrtvva2vvdet" timestamp="1683252004"&gt;294&lt;/key&gt;&lt;/foreign-keys&gt;&lt;ref-type name="Web Page"&gt;12&lt;/ref-type&gt;&lt;contributors&gt;&lt;authors&gt;&lt;author&gt;Heart Foundation,&lt;/author&gt;&lt;/authors&gt;&lt;/contributors&gt;&lt;titles&gt;&lt;title&gt;Statistics: General heart statistics in New Zealand&lt;/title&gt;&lt;/titles&gt;&lt;number&gt;5 May 2023&lt;/number&gt;&lt;dates&gt;&lt;year&gt;2023&lt;/year&gt;&lt;/dates&gt;&lt;urls&gt;&lt;related-urls&gt;&lt;url&gt;www.heartfoundation.org.nz/statistics&lt;/url&gt;&lt;/related-urls&gt;&lt;/urls&gt;&lt;/record&gt;&lt;/Cite&gt;&lt;/EndNote&gt;</w:instrText>
      </w:r>
      <w:r w:rsidRPr="00EA45FE">
        <w:rPr>
          <w:rFonts w:cs="Segoe UI"/>
        </w:rPr>
        <w:fldChar w:fldCharType="separate"/>
      </w:r>
      <w:r w:rsidRPr="00EA45FE">
        <w:rPr>
          <w:rFonts w:cs="Segoe UI"/>
          <w:noProof/>
        </w:rPr>
        <w:t>(Heart Foundation 2023)</w:t>
      </w:r>
      <w:r w:rsidRPr="00EA45FE">
        <w:rPr>
          <w:rFonts w:cs="Segoe UI"/>
        </w:rPr>
        <w:fldChar w:fldCharType="end"/>
      </w:r>
      <w:r w:rsidRPr="00EA45FE">
        <w:rPr>
          <w:rFonts w:cs="Segoe UI"/>
        </w:rPr>
        <w:t>. It causes almost 1 in every 3 deaths</w:t>
      </w:r>
      <w:r w:rsidRPr="00EA45FE">
        <w:rPr>
          <w:rFonts w:cs="Segoe UI"/>
          <w:shd w:val="clear" w:color="auto" w:fill="FFFFFF"/>
        </w:rPr>
        <w:t>.</w:t>
      </w:r>
    </w:p>
    <w:p w14:paraId="5CB4B95E" w14:textId="77777777" w:rsidR="0041567E" w:rsidRPr="0007414B" w:rsidRDefault="0041567E" w:rsidP="0041567E">
      <w:pPr>
        <w:rPr>
          <w:rFonts w:cs="Segoe UI"/>
          <w:color w:val="333333"/>
          <w:szCs w:val="21"/>
          <w:shd w:val="clear" w:color="auto" w:fill="FFFFFF"/>
        </w:rPr>
      </w:pPr>
    </w:p>
    <w:p w14:paraId="1C38334D" w14:textId="77777777" w:rsidR="0041567E" w:rsidRPr="0007414B" w:rsidRDefault="0041567E" w:rsidP="0041567E">
      <w:pPr>
        <w:rPr>
          <w:rFonts w:eastAsiaTheme="minorEastAsia" w:cs="Segoe UI"/>
          <w:lang w:eastAsia="en-US"/>
        </w:rPr>
      </w:pPr>
      <w:r w:rsidRPr="0007414B">
        <w:rPr>
          <w:rFonts w:eastAsiaTheme="minorEastAsia" w:cs="Segoe UI"/>
          <w:lang w:eastAsia="en-US"/>
        </w:rPr>
        <w:t xml:space="preserve">In 2020 </w:t>
      </w:r>
      <w:r w:rsidRPr="0007414B">
        <w:rPr>
          <w:rFonts w:cs="Segoe UI"/>
        </w:rPr>
        <w:t xml:space="preserve">(the latest data available), </w:t>
      </w:r>
      <w:r w:rsidRPr="0007414B">
        <w:rPr>
          <w:rFonts w:eastAsiaTheme="minorEastAsia" w:cs="Segoe UI"/>
          <w:lang w:eastAsia="en-US"/>
        </w:rPr>
        <w:t xml:space="preserve">ischaemic heart disease accounted for 4,361 deaths, an age-standardised rate of 41.9 deaths per 100,000 population </w:t>
      </w:r>
      <w:r w:rsidRPr="0007414B">
        <w:rPr>
          <w:rFonts w:eastAsiaTheme="minorEastAsia" w:cs="Segoe UI"/>
          <w:lang w:eastAsia="en-US"/>
        </w:rPr>
        <w:fldChar w:fldCharType="begin"/>
      </w:r>
      <w:r w:rsidRPr="0007414B">
        <w:rPr>
          <w:rFonts w:eastAsiaTheme="minorEastAsia" w:cs="Segoe UI"/>
          <w:lang w:eastAsia="en-US"/>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07414B">
        <w:rPr>
          <w:rFonts w:eastAsiaTheme="minorEastAsia" w:cs="Segoe UI"/>
          <w:lang w:eastAsia="en-US"/>
        </w:rPr>
        <w:fldChar w:fldCharType="separate"/>
      </w:r>
      <w:r w:rsidRPr="0007414B">
        <w:rPr>
          <w:rFonts w:eastAsiaTheme="minorEastAsia" w:cs="Segoe UI"/>
          <w:lang w:eastAsia="en-US"/>
        </w:rPr>
        <w:t>(Te Whatu Ora 2023h)</w:t>
      </w:r>
      <w:r w:rsidRPr="0007414B">
        <w:rPr>
          <w:rFonts w:eastAsiaTheme="minorEastAsia" w:cs="Segoe UI"/>
          <w:lang w:eastAsia="en-US"/>
        </w:rPr>
        <w:fldChar w:fldCharType="end"/>
      </w:r>
      <w:r w:rsidRPr="0007414B">
        <w:rPr>
          <w:rFonts w:eastAsiaTheme="minorEastAsia" w:cs="Segoe UI"/>
          <w:lang w:eastAsia="en-US"/>
        </w:rPr>
        <w:t>. Within total deaths from this disease:</w:t>
      </w:r>
    </w:p>
    <w:p w14:paraId="3314D6E2" w14:textId="77777777" w:rsidR="0041567E" w:rsidRPr="0007414B" w:rsidRDefault="0041567E" w:rsidP="0041567E">
      <w:pPr>
        <w:pStyle w:val="Bullet"/>
        <w:rPr>
          <w:lang w:eastAsia="en-US"/>
        </w:rPr>
      </w:pPr>
      <w:r w:rsidRPr="0007414B">
        <w:rPr>
          <w:lang w:eastAsia="en-US"/>
        </w:rPr>
        <w:t>the rate for Māori was 72.2 per 100,000 population, compared with the non-Māori rate of 38.4 per 100,000 population</w:t>
      </w:r>
    </w:p>
    <w:p w14:paraId="418461A3" w14:textId="77777777" w:rsidR="0041567E" w:rsidRPr="0007414B" w:rsidRDefault="0041567E" w:rsidP="0041567E">
      <w:pPr>
        <w:pStyle w:val="Bullet"/>
        <w:rPr>
          <w:lang w:eastAsia="en-US"/>
        </w:rPr>
      </w:pPr>
      <w:r w:rsidRPr="0007414B">
        <w:rPr>
          <w:lang w:eastAsia="en-US"/>
        </w:rPr>
        <w:t>the rate for women was 26.7</w:t>
      </w:r>
      <w:r w:rsidRPr="0007414B" w:rsidDel="00823523">
        <w:rPr>
          <w:lang w:eastAsia="en-US"/>
        </w:rPr>
        <w:t xml:space="preserve"> </w:t>
      </w:r>
      <w:r w:rsidRPr="0007414B">
        <w:rPr>
          <w:lang w:eastAsia="en-US"/>
        </w:rPr>
        <w:t>and the rate for men of 59.1 per 100,000 population.</w:t>
      </w:r>
    </w:p>
    <w:p w14:paraId="0EA27346" w14:textId="77777777" w:rsidR="0041567E" w:rsidRPr="0007414B" w:rsidRDefault="0041567E" w:rsidP="0041567E">
      <w:pPr>
        <w:rPr>
          <w:rFonts w:eastAsiaTheme="minorEastAsia" w:cs="Segoe UI"/>
          <w:lang w:eastAsia="en-US"/>
        </w:rPr>
      </w:pPr>
      <w:r w:rsidRPr="0007414B">
        <w:rPr>
          <w:rFonts w:eastAsiaTheme="minorEastAsia" w:cs="Segoe UI"/>
          <w:lang w:eastAsia="en-US"/>
        </w:rPr>
        <w:lastRenderedPageBreak/>
        <w:t xml:space="preserve">Cerebrovascular disease refers to a group of conditions, diseases and disorders that affect the blood vessels and blood supply to the brain </w:t>
      </w:r>
      <w:r w:rsidRPr="0007414B">
        <w:rPr>
          <w:rFonts w:eastAsiaTheme="minorEastAsia" w:cs="Segoe UI"/>
          <w:lang w:eastAsia="en-US"/>
        </w:rPr>
        <w:fldChar w:fldCharType="begin"/>
      </w:r>
      <w:r>
        <w:rPr>
          <w:rFonts w:eastAsiaTheme="minorEastAsia" w:cs="Segoe UI"/>
          <w:lang w:eastAsia="en-US"/>
        </w:rPr>
        <w:instrText xml:space="preserve"> ADDIN EN.CITE &lt;EndNote&gt;&lt;Cite&gt;&lt;Author&gt;University of Michigan&lt;/Author&gt;&lt;Year&gt;2023&lt;/Year&gt;&lt;RecNum&gt;348&lt;/RecNum&gt;&lt;DisplayText&gt;(University of Michigan 2023)&lt;/DisplayText&gt;&lt;record&gt;&lt;rec-number&gt;348&lt;/rec-number&gt;&lt;foreign-keys&gt;&lt;key app="EN" db-id="aaepvppzs5wtfse95vsp2wahsrtvva2vvdet" timestamp="1683847900"&gt;348&lt;/key&gt;&lt;/foreign-keys&gt;&lt;ref-type name="Web Page"&gt;12&lt;/ref-type&gt;&lt;contributors&gt;&lt;authors&gt;&lt;author&gt;University of Michigan,&lt;/author&gt;&lt;/authors&gt;&lt;/contributors&gt;&lt;titles&gt;&lt;title&gt;Cerebrovascular Disease&lt;/title&gt;&lt;/titles&gt;&lt;number&gt;12 May 2023&lt;/number&gt;&lt;dates&gt;&lt;year&gt;2023&lt;/year&gt;&lt;/dates&gt;&lt;urls&gt;&lt;related-urls&gt;&lt;url&gt;www.uofmhealth.org/conditions-treatments/brain-neurological-conditions/cerebrovascular&lt;/url&gt;&lt;/related-urls&gt;&lt;/urls&gt;&lt;/record&gt;&lt;/Cite&gt;&lt;/EndNote&gt;</w:instrText>
      </w:r>
      <w:r w:rsidRPr="0007414B">
        <w:rPr>
          <w:rFonts w:eastAsiaTheme="minorEastAsia" w:cs="Segoe UI"/>
          <w:lang w:eastAsia="en-US"/>
        </w:rPr>
        <w:fldChar w:fldCharType="separate"/>
      </w:r>
      <w:r w:rsidRPr="0007414B">
        <w:rPr>
          <w:rFonts w:eastAsiaTheme="minorEastAsia" w:cs="Segoe UI"/>
          <w:noProof/>
          <w:lang w:eastAsia="en-US"/>
        </w:rPr>
        <w:t>(University of Michigan 2023)</w:t>
      </w:r>
      <w:r w:rsidRPr="0007414B">
        <w:rPr>
          <w:rFonts w:eastAsiaTheme="minorEastAsia" w:cs="Segoe UI"/>
          <w:lang w:eastAsia="en-US"/>
        </w:rPr>
        <w:fldChar w:fldCharType="end"/>
      </w:r>
      <w:r w:rsidRPr="0007414B">
        <w:rPr>
          <w:rFonts w:eastAsiaTheme="minorEastAsia" w:cs="Segoe UI"/>
          <w:lang w:eastAsia="en-US"/>
        </w:rPr>
        <w:t xml:space="preserve">. Stroke is the most common form of this group of conditions. </w:t>
      </w:r>
    </w:p>
    <w:p w14:paraId="092CFBBB" w14:textId="77777777" w:rsidR="0041567E" w:rsidRPr="0007414B" w:rsidRDefault="0041567E" w:rsidP="0041567E">
      <w:pPr>
        <w:rPr>
          <w:rFonts w:eastAsiaTheme="minorHAnsi" w:cs="Segoe UI"/>
          <w:lang w:eastAsia="en-US"/>
        </w:rPr>
      </w:pPr>
    </w:p>
    <w:p w14:paraId="1DC1EA5C" w14:textId="77777777" w:rsidR="0041567E" w:rsidRPr="0007414B" w:rsidRDefault="0041567E" w:rsidP="0041567E">
      <w:pPr>
        <w:rPr>
          <w:rFonts w:eastAsiaTheme="minorEastAsia" w:cs="Segoe UI"/>
          <w:lang w:eastAsia="en-US"/>
        </w:rPr>
      </w:pPr>
      <w:r w:rsidRPr="0007414B">
        <w:rPr>
          <w:rFonts w:eastAsiaTheme="minorEastAsia" w:cs="Segoe UI"/>
          <w:lang w:eastAsia="en-US"/>
        </w:rPr>
        <w:t xml:space="preserve">In 2020, cerebrovascular disease accounted for 2,067 deaths, which </w:t>
      </w:r>
      <w:r>
        <w:rPr>
          <w:rFonts w:eastAsiaTheme="minorEastAsia" w:cs="Segoe UI"/>
          <w:lang w:eastAsia="en-US"/>
        </w:rPr>
        <w:t>is</w:t>
      </w:r>
      <w:r w:rsidRPr="0007414B">
        <w:rPr>
          <w:rFonts w:eastAsiaTheme="minorEastAsia" w:cs="Segoe UI"/>
          <w:lang w:eastAsia="en-US"/>
        </w:rPr>
        <w:t xml:space="preserve"> an age-standardised rate of 18.9 deaths per 100,000 population </w:t>
      </w:r>
      <w:r w:rsidRPr="0007414B">
        <w:rPr>
          <w:rFonts w:eastAsiaTheme="minorEastAsia" w:cs="Segoe UI"/>
          <w:lang w:eastAsia="en-US"/>
        </w:rPr>
        <w:fldChar w:fldCharType="begin"/>
      </w:r>
      <w:r w:rsidRPr="0007414B">
        <w:rPr>
          <w:rFonts w:eastAsiaTheme="minorEastAsia" w:cs="Segoe UI"/>
          <w:lang w:eastAsia="en-US"/>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07414B">
        <w:rPr>
          <w:rFonts w:eastAsiaTheme="minorEastAsia" w:cs="Segoe UI"/>
          <w:lang w:eastAsia="en-US"/>
        </w:rPr>
        <w:fldChar w:fldCharType="separate"/>
      </w:r>
      <w:r w:rsidRPr="0007414B">
        <w:rPr>
          <w:rFonts w:eastAsiaTheme="minorEastAsia" w:cs="Segoe UI"/>
          <w:lang w:eastAsia="en-US"/>
        </w:rPr>
        <w:t>(Te Whatu Ora 2023h)</w:t>
      </w:r>
      <w:r w:rsidRPr="0007414B">
        <w:rPr>
          <w:rFonts w:eastAsiaTheme="minorEastAsia" w:cs="Segoe UI"/>
          <w:lang w:eastAsia="en-US"/>
        </w:rPr>
        <w:fldChar w:fldCharType="end"/>
      </w:r>
      <w:r w:rsidRPr="0007414B">
        <w:rPr>
          <w:rFonts w:eastAsiaTheme="minorEastAsia" w:cs="Segoe UI"/>
          <w:lang w:eastAsia="en-US"/>
        </w:rPr>
        <w:t>. Within total deaths from this disease:</w:t>
      </w:r>
    </w:p>
    <w:p w14:paraId="33489274" w14:textId="77777777" w:rsidR="0041567E" w:rsidRPr="0007414B" w:rsidRDefault="0041567E" w:rsidP="0041567E">
      <w:pPr>
        <w:pStyle w:val="Bullet"/>
        <w:rPr>
          <w:lang w:eastAsia="en-US"/>
        </w:rPr>
      </w:pPr>
      <w:r w:rsidRPr="0007414B">
        <w:rPr>
          <w:lang w:eastAsia="en-US"/>
        </w:rPr>
        <w:t>the rate for Māori was 25.7 per 100,000 population, compared with the non-Māori rate of 18.0 per 100,000 population</w:t>
      </w:r>
    </w:p>
    <w:p w14:paraId="02274D7A" w14:textId="77777777" w:rsidR="0041567E" w:rsidRPr="0007414B" w:rsidRDefault="0041567E" w:rsidP="0041567E">
      <w:pPr>
        <w:pStyle w:val="Bullet"/>
        <w:rPr>
          <w:lang w:eastAsia="en-US"/>
        </w:rPr>
      </w:pPr>
      <w:r w:rsidRPr="0007414B">
        <w:rPr>
          <w:lang w:eastAsia="en-US"/>
        </w:rPr>
        <w:t>the rate for women was 19.0</w:t>
      </w:r>
      <w:r w:rsidRPr="0007414B" w:rsidDel="00823523">
        <w:rPr>
          <w:lang w:eastAsia="en-US"/>
        </w:rPr>
        <w:t xml:space="preserve"> </w:t>
      </w:r>
      <w:r w:rsidRPr="0007414B">
        <w:rPr>
          <w:lang w:eastAsia="en-US"/>
        </w:rPr>
        <w:t>and the rate for men was 18.5 per 100,000 population.</w:t>
      </w:r>
    </w:p>
    <w:p w14:paraId="361B2B05" w14:textId="77777777" w:rsidR="0041567E" w:rsidRPr="0007414B" w:rsidRDefault="0041567E" w:rsidP="0041567E">
      <w:pPr>
        <w:pStyle w:val="Heading3"/>
      </w:pPr>
      <w:r w:rsidRPr="0007414B">
        <w:t>Cancer</w:t>
      </w:r>
    </w:p>
    <w:p w14:paraId="4B4E1CC8" w14:textId="77777777" w:rsidR="0041567E" w:rsidRPr="0007414B" w:rsidRDefault="0041567E" w:rsidP="0041567E">
      <w:pPr>
        <w:rPr>
          <w:rFonts w:cs="Segoe UI"/>
        </w:rPr>
      </w:pPr>
      <w:r w:rsidRPr="0007414B">
        <w:rPr>
          <w:rFonts w:cs="Segoe UI"/>
        </w:rPr>
        <w:t xml:space="preserve">When all cancer types are combined, cancer is the leading cause of death in Aotearoa New Zealand </w:t>
      </w:r>
      <w:r w:rsidRPr="0007414B">
        <w:rPr>
          <w:rFonts w:cs="Segoe UI"/>
        </w:rPr>
        <w:fldChar w:fldCharType="begin"/>
      </w:r>
      <w:r w:rsidRPr="0007414B">
        <w:rPr>
          <w:rFonts w:cs="Segoe UI"/>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07414B">
        <w:rPr>
          <w:rFonts w:cs="Segoe UI"/>
        </w:rPr>
        <w:fldChar w:fldCharType="separate"/>
      </w:r>
      <w:r w:rsidRPr="0007414B">
        <w:rPr>
          <w:rFonts w:cs="Segoe UI"/>
        </w:rPr>
        <w:t>(Te Whatu Ora 2023h)</w:t>
      </w:r>
      <w:r w:rsidRPr="0007414B">
        <w:rPr>
          <w:rFonts w:cs="Segoe UI"/>
        </w:rPr>
        <w:fldChar w:fldCharType="end"/>
      </w:r>
      <w:r w:rsidRPr="0007414B">
        <w:rPr>
          <w:rFonts w:cs="Segoe UI"/>
        </w:rPr>
        <w:t>. Cancer is more common in older people.</w:t>
      </w:r>
      <w:r w:rsidRPr="0007414B" w:rsidDel="009B0EFA">
        <w:rPr>
          <w:rFonts w:cs="Segoe UI"/>
        </w:rPr>
        <w:t xml:space="preserve"> </w:t>
      </w:r>
      <w:r w:rsidRPr="0007414B">
        <w:rPr>
          <w:rFonts w:cs="Segoe UI"/>
        </w:rPr>
        <w:t xml:space="preserve">Because the population is both ageing and growing in size, the number of New Zealanders with cancer is likely to increase over time. </w:t>
      </w:r>
    </w:p>
    <w:p w14:paraId="05193175" w14:textId="37AD52A5" w:rsidR="0041567E" w:rsidRPr="0007414B" w:rsidRDefault="0041567E" w:rsidP="0041567E">
      <w:pPr>
        <w:pStyle w:val="Heading4"/>
      </w:pPr>
      <w:r w:rsidRPr="0007414B">
        <w:t>Cancer incidence</w:t>
      </w:r>
    </w:p>
    <w:p w14:paraId="328B0B74" w14:textId="77777777" w:rsidR="0041567E" w:rsidRPr="0007414B" w:rsidRDefault="0041567E" w:rsidP="0041567E">
      <w:pPr>
        <w:rPr>
          <w:rFonts w:cs="Segoe UI"/>
        </w:rPr>
      </w:pPr>
      <w:r w:rsidRPr="0007414B">
        <w:rPr>
          <w:rFonts w:cs="Segoe UI"/>
        </w:rPr>
        <w:t>In 2020 (the latest data available), a total of 27,072 people in Aotearoa New Zealand were diagnosed with cancer (new cancer registrations</w:t>
      </w:r>
      <w:r>
        <w:rPr>
          <w:rFonts w:cs="Segoe UI"/>
        </w:rPr>
        <w:t>;</w:t>
      </w:r>
      <w:r w:rsidRPr="0007414B">
        <w:rPr>
          <w:rFonts w:cs="Segoe UI"/>
        </w:rPr>
        <w:t xml:space="preserve"> </w:t>
      </w:r>
      <w:r w:rsidRPr="0007414B">
        <w:rPr>
          <w:rFonts w:cs="Segoe UI"/>
        </w:rPr>
        <w:fldChar w:fldCharType="begin"/>
      </w:r>
      <w:r w:rsidRPr="0007414B">
        <w:rPr>
          <w:rFonts w:cs="Segoe UI"/>
        </w:rPr>
        <w:instrText xml:space="preserve"> ADDIN EN.CITE &lt;EndNote&gt;&lt;Cite&gt;&lt;Author&gt;Te Whatu Ora&lt;/Author&gt;&lt;Year&gt;2023&lt;/Year&gt;&lt;RecNum&gt;295&lt;/RecNum&gt;&lt;DisplayText&gt;(Te Whatu Ora 2023d)&lt;/DisplayText&gt;&lt;record&gt;&lt;rec-number&gt;295&lt;/rec-number&gt;&lt;foreign-keys&gt;&lt;key app="EN" db-id="aaepvppzs5wtfse95vsp2wahsrtvva2vvdet" timestamp="1683252221"&gt;295&lt;/key&gt;&lt;/foreign-keys&gt;&lt;ref-type name="Web Page"&gt;12&lt;/ref-type&gt;&lt;contributors&gt;&lt;authors&gt;&lt;author&gt;Te Whatu Ora,&lt;/author&gt;&lt;/authors&gt;&lt;/contributors&gt;&lt;titles&gt;&lt;title&gt;Cancer web tool (Data file)&lt;/title&gt;&lt;/titles&gt;&lt;number&gt;28 April 2023&lt;/number&gt;&lt;dates&gt;&lt;year&gt;2023&lt;/year&gt;&lt;/dates&gt;&lt;urls&gt;&lt;related-urls&gt;&lt;url&gt;https://tewhatuora.shinyapps.io/cancer-web-tool/&lt;/url&gt;&lt;/related-urls&gt;&lt;/urls&gt;&lt;/record&gt;&lt;/Cite&gt;&lt;/EndNote&gt;</w:instrText>
      </w:r>
      <w:r w:rsidRPr="0007414B">
        <w:rPr>
          <w:rFonts w:cs="Segoe UI"/>
        </w:rPr>
        <w:fldChar w:fldCharType="separate"/>
      </w:r>
      <w:r w:rsidRPr="0007414B">
        <w:rPr>
          <w:rFonts w:cs="Segoe UI"/>
        </w:rPr>
        <w:t>Te Whatu Ora 2023d)</w:t>
      </w:r>
      <w:r w:rsidRPr="0007414B">
        <w:rPr>
          <w:rFonts w:cs="Segoe UI"/>
        </w:rPr>
        <w:fldChar w:fldCharType="end"/>
      </w:r>
      <w:r w:rsidRPr="0007414B">
        <w:rPr>
          <w:rFonts w:cs="Segoe UI"/>
        </w:rPr>
        <w:t>. The most commonly diagnosed cancers</w:t>
      </w:r>
      <w:r w:rsidRPr="0007414B" w:rsidDel="009B0EFA">
        <w:rPr>
          <w:rFonts w:cs="Segoe UI"/>
        </w:rPr>
        <w:t xml:space="preserve"> </w:t>
      </w:r>
      <w:r w:rsidRPr="0007414B">
        <w:rPr>
          <w:rFonts w:cs="Segoe UI"/>
        </w:rPr>
        <w:t xml:space="preserve">(excluding non-melanoma skin cancers) were breast, lung, prostate and colorectal cancers. The number of new cancers per 100,000 people (incidence) has remained relatively stable for the past 20 years </w:t>
      </w:r>
      <w:r w:rsidRPr="0007414B">
        <w:rPr>
          <w:rFonts w:cs="Segoe UI"/>
        </w:rPr>
        <w:fldChar w:fldCharType="begin"/>
      </w:r>
      <w:r w:rsidRPr="0007414B">
        <w:rPr>
          <w:rFonts w:cs="Segoe UI"/>
        </w:rPr>
        <w:instrText xml:space="preserve"> ADDIN EN.CITE &lt;EndNote&gt;&lt;Cite&gt;&lt;Author&gt;Te Aho o Te Kahu Cancer Control Agency&lt;/Author&gt;&lt;Year&gt;2023&lt;/Year&gt;&lt;RecNum&gt;296&lt;/RecNum&gt;&lt;DisplayText&gt;(Te Aho o Te Kahu Cancer Control Agency 2023d)&lt;/DisplayText&gt;&lt;record&gt;&lt;rec-number&gt;296&lt;/rec-number&gt;&lt;foreign-keys&gt;&lt;key app="EN" db-id="aaepvppzs5wtfse95vsp2wahsrtvva2vvdet" timestamp="1683252400"&gt;296&lt;/key&gt;&lt;/foreign-keys&gt;&lt;ref-type name="Web Page"&gt;12&lt;/ref-type&gt;&lt;contributors&gt;&lt;authors&gt;&lt;author&gt;Te Aho o Te Kahu Cancer Control Agency,&lt;/author&gt;&lt;/authors&gt;&lt;/contributors&gt;&lt;titles&gt;&lt;title&gt;What is happening over time? A look at the rates of new cancers and cancer deaths over time in Aotearoa&lt;/title&gt;&lt;/titles&gt;&lt;number&gt;5 May 2023&lt;/number&gt;&lt;dates&gt;&lt;year&gt;2023&lt;/year&gt;&lt;/dates&gt;&lt;urls&gt;&lt;related-urls&gt;&lt;url&gt;https://teaho.govt.nz/cancer-numbers/cancer-rates&lt;/url&gt;&lt;/related-urls&gt;&lt;/urls&gt;&lt;/record&gt;&lt;/Cite&gt;&lt;/EndNote&gt;</w:instrText>
      </w:r>
      <w:r w:rsidRPr="0007414B">
        <w:rPr>
          <w:rFonts w:cs="Segoe UI"/>
        </w:rPr>
        <w:fldChar w:fldCharType="separate"/>
      </w:r>
      <w:r w:rsidRPr="0007414B">
        <w:rPr>
          <w:rFonts w:cs="Segoe UI"/>
        </w:rPr>
        <w:t>(Te Aho o Te Kahu Cancer Control Agency 2023d)</w:t>
      </w:r>
      <w:r w:rsidRPr="0007414B">
        <w:rPr>
          <w:rFonts w:cs="Segoe UI"/>
        </w:rPr>
        <w:fldChar w:fldCharType="end"/>
      </w:r>
      <w:r w:rsidRPr="0007414B">
        <w:rPr>
          <w:rFonts w:cs="Segoe UI"/>
        </w:rPr>
        <w:t>.</w:t>
      </w:r>
    </w:p>
    <w:p w14:paraId="1B433297" w14:textId="77777777" w:rsidR="0041567E" w:rsidRPr="0007414B" w:rsidRDefault="0041567E" w:rsidP="0041567E">
      <w:pPr>
        <w:rPr>
          <w:rFonts w:cs="Segoe UI"/>
        </w:rPr>
      </w:pPr>
    </w:p>
    <w:p w14:paraId="7BF88F56" w14:textId="45F8A6C1" w:rsidR="0041567E" w:rsidRDefault="0041567E" w:rsidP="0041567E">
      <w:pPr>
        <w:rPr>
          <w:rFonts w:cs="Segoe UI"/>
        </w:rPr>
      </w:pPr>
      <w:r w:rsidRPr="0007414B">
        <w:rPr>
          <w:rFonts w:cs="Segoe UI"/>
        </w:rPr>
        <w:t>However, cancer rates also varied between ethnic groups.</w:t>
      </w:r>
      <w:r w:rsidRPr="0007414B">
        <w:rPr>
          <w:rFonts w:cs="Segoe UI"/>
          <w:szCs w:val="21"/>
        </w:rPr>
        <w:t xml:space="preserve"> </w:t>
      </w:r>
      <w:r w:rsidRPr="0007414B">
        <w:rPr>
          <w:rFonts w:cs="Segoe UI"/>
        </w:rPr>
        <w:fldChar w:fldCharType="begin"/>
      </w:r>
      <w:r w:rsidRPr="0007414B">
        <w:rPr>
          <w:rFonts w:cs="Segoe UI"/>
        </w:rPr>
        <w:instrText xml:space="preserve"> REF _Ref130969788 \h  \* MERGEFORMAT </w:instrText>
      </w:r>
      <w:r w:rsidRPr="0007414B">
        <w:rPr>
          <w:rFonts w:cs="Segoe UI"/>
        </w:rPr>
      </w:r>
      <w:r w:rsidRPr="0007414B">
        <w:rPr>
          <w:rFonts w:cs="Segoe UI"/>
        </w:rPr>
        <w:fldChar w:fldCharType="separate"/>
      </w:r>
      <w:r w:rsidR="00BE208D" w:rsidRPr="00BE208D">
        <w:rPr>
          <w:rFonts w:cs="Segoe UI"/>
        </w:rPr>
        <w:t>Figure 12</w:t>
      </w:r>
      <w:r w:rsidRPr="0007414B">
        <w:rPr>
          <w:rFonts w:cs="Segoe UI"/>
        </w:rPr>
        <w:fldChar w:fldCharType="end"/>
      </w:r>
      <w:r w:rsidRPr="0007414B">
        <w:rPr>
          <w:rFonts w:cs="Segoe UI"/>
        </w:rPr>
        <w:t xml:space="preserve"> shows a continually higher rate of cancer registrations per 100,000 population for Māori compared with non-Māori between 2011 and 2020. In 2020, Māori</w:t>
      </w:r>
      <w:r w:rsidRPr="0007414B" w:rsidDel="009B0EFA">
        <w:rPr>
          <w:rFonts w:cs="Segoe UI"/>
        </w:rPr>
        <w:t xml:space="preserve"> </w:t>
      </w:r>
      <w:r w:rsidRPr="0007414B">
        <w:rPr>
          <w:rFonts w:cs="Segoe UI"/>
        </w:rPr>
        <w:t>had 411.5 cancer registrations per 100,000, compared with 328.8 cancer registrations per 100,000 for non-Māori.</w:t>
      </w:r>
    </w:p>
    <w:p w14:paraId="2200DC5E" w14:textId="1612D47F" w:rsidR="0041567E" w:rsidRDefault="0041567E" w:rsidP="0041567E">
      <w:pPr>
        <w:rPr>
          <w:rFonts w:cs="Segoe UI"/>
        </w:rPr>
      </w:pPr>
    </w:p>
    <w:p w14:paraId="713B8DFB" w14:textId="0BB6E939" w:rsidR="0041567E" w:rsidRPr="0007414B" w:rsidRDefault="0041567E" w:rsidP="004B1165">
      <w:pPr>
        <w:pStyle w:val="Figure"/>
        <w:spacing w:before="0"/>
        <w:rPr>
          <w:rStyle w:val="ui-provider"/>
        </w:rPr>
      </w:pPr>
      <w:bookmarkStart w:id="63" w:name="_Ref130969788"/>
      <w:bookmarkStart w:id="64" w:name="_Toc138326954"/>
      <w:bookmarkStart w:id="65" w:name="_Toc138409935"/>
      <w:r w:rsidRPr="0007414B">
        <w:t xml:space="preserve">Figure </w:t>
      </w:r>
      <w:r>
        <w:fldChar w:fldCharType="begin"/>
      </w:r>
      <w:r>
        <w:instrText>SEQ Figure \* ARABIC</w:instrText>
      </w:r>
      <w:r>
        <w:fldChar w:fldCharType="separate"/>
      </w:r>
      <w:r w:rsidR="00BE208D">
        <w:rPr>
          <w:noProof/>
        </w:rPr>
        <w:t>12</w:t>
      </w:r>
      <w:r>
        <w:fldChar w:fldCharType="end"/>
      </w:r>
      <w:bookmarkEnd w:id="63"/>
      <w:r w:rsidRPr="0007414B">
        <w:t xml:space="preserve">: </w:t>
      </w:r>
      <w:r w:rsidRPr="0007414B">
        <w:rPr>
          <w:rStyle w:val="ui-provider"/>
        </w:rPr>
        <w:t>Cancer registrations (incidence rate per 100,000 people), Māori and non-Māori, 2011–2020</w:t>
      </w:r>
      <w:bookmarkEnd w:id="64"/>
      <w:bookmarkEnd w:id="65"/>
      <w:r w:rsidRPr="0007414B">
        <w:rPr>
          <w:rStyle w:val="ui-provider"/>
        </w:rPr>
        <w:t> </w:t>
      </w:r>
    </w:p>
    <w:p w14:paraId="14C2CDFF" w14:textId="77777777" w:rsidR="0041567E" w:rsidRPr="0007414B" w:rsidRDefault="0041567E" w:rsidP="0041567E">
      <w:pPr>
        <w:rPr>
          <w:rFonts w:cs="Segoe UI"/>
        </w:rPr>
      </w:pPr>
      <w:r w:rsidRPr="0007414B">
        <w:rPr>
          <w:noProof/>
        </w:rPr>
        <w:drawing>
          <wp:inline distT="0" distB="0" distL="0" distR="0" wp14:anchorId="03224C78" wp14:editId="2846E9FC">
            <wp:extent cx="4876799" cy="2438400"/>
            <wp:effectExtent l="0" t="0" r="635" b="0"/>
            <wp:docPr id="1823296328" name="Picture 1823296328" descr="A line chart showing the cancer registration rate for Māori and non-Māori between 2011 and 2020. The rate for Māori remained higher compared to non-Māori for the entire time series. The rate for Māori fluctuated between 407.4 per 100,000 and 437.0 per 100,000. The rate for non-Māori fluctuated between 325.3 per 100,000 and 340.5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8" name="Picture 1823296328" descr="A line chart showing the cancer registration rate for Māori and non-Māori between 2011 and 2020. The rate for Māori remained higher compared to non-Māori for the entire time series. The rate for Māori fluctuated between 407.4 per 100,000 and 437.0 per 100,000. The rate for non-Māori fluctuated between 325.3 per 100,000 and 340.5 per 100,000.&#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89182" cy="2494591"/>
                    </a:xfrm>
                    <a:prstGeom prst="rect">
                      <a:avLst/>
                    </a:prstGeom>
                  </pic:spPr>
                </pic:pic>
              </a:graphicData>
            </a:graphic>
          </wp:inline>
        </w:drawing>
      </w:r>
    </w:p>
    <w:p w14:paraId="1F2783B9" w14:textId="77777777" w:rsidR="0041567E" w:rsidRPr="0041567E" w:rsidRDefault="0041567E" w:rsidP="0041567E">
      <w:pPr>
        <w:pStyle w:val="Source"/>
      </w:pPr>
      <w:r w:rsidRPr="0041567E">
        <w:t xml:space="preserve">Source: </w:t>
      </w:r>
      <w:hyperlink r:id="rId56">
        <w:r w:rsidRPr="0041567E">
          <w:rPr>
            <w:rStyle w:val="Hyperlink"/>
          </w:rPr>
          <w:t>Te Whatu Ora (2023d)</w:t>
        </w:r>
      </w:hyperlink>
    </w:p>
    <w:p w14:paraId="5A754165" w14:textId="77777777" w:rsidR="0041567E" w:rsidRPr="00A43681" w:rsidRDefault="0041567E" w:rsidP="0041567E">
      <w:pPr>
        <w:pStyle w:val="Heading4"/>
      </w:pPr>
      <w:r w:rsidRPr="00A43681">
        <w:lastRenderedPageBreak/>
        <w:t>Cancer mortality</w:t>
      </w:r>
    </w:p>
    <w:p w14:paraId="2881169D" w14:textId="77777777" w:rsidR="00BE208D" w:rsidRPr="0007414B" w:rsidRDefault="0041567E" w:rsidP="0041567E">
      <w:pPr>
        <w:rPr>
          <w:rStyle w:val="ui-provider"/>
          <w:rFonts w:cs="Segoe UI"/>
        </w:rPr>
      </w:pPr>
      <w:r w:rsidRPr="0007414B">
        <w:rPr>
          <w:rStyle w:val="ui-provider"/>
          <w:rFonts w:cs="Segoe UI"/>
        </w:rPr>
        <w:t xml:space="preserve">More people are surviving cancer because of improvements in diagnosis and treatment </w:t>
      </w:r>
      <w:r w:rsidRPr="0007414B">
        <w:rPr>
          <w:rStyle w:val="ui-provider"/>
          <w:rFonts w:cs="Segoe UI"/>
        </w:rPr>
        <w:fldChar w:fldCharType="begin"/>
      </w:r>
      <w:r w:rsidRPr="0007414B">
        <w:rPr>
          <w:rStyle w:val="ui-provider"/>
          <w:rFonts w:cs="Segoe UI"/>
        </w:rPr>
        <w:instrText xml:space="preserve"> ADDIN EN.CITE &lt;EndNote&gt;&lt;Cite&gt;&lt;Author&gt;Te Aho o Te Kahu Cancer Control Agency&lt;/Author&gt;&lt;Year&gt;2023&lt;/Year&gt;&lt;RecNum&gt;297&lt;/RecNum&gt;&lt;DisplayText&gt;(Te Aho o Te Kahu Cancer Control Agency 2023b)&lt;/DisplayText&gt;&lt;record&gt;&lt;rec-number&gt;297&lt;/rec-number&gt;&lt;foreign-keys&gt;&lt;key app="EN" db-id="aaepvppzs5wtfse95vsp2wahsrtvva2vvdet" timestamp="1683252520"&gt;297&lt;/key&gt;&lt;/foreign-keys&gt;&lt;ref-type name="Web Page"&gt;12&lt;/ref-type&gt;&lt;contributors&gt;&lt;authors&gt;&lt;author&gt;Te Aho o Te Kahu Cancer Control Agency,&lt;/author&gt;&lt;/authors&gt;&lt;/contributors&gt;&lt;titles&gt;&lt;title&gt;Cancer in numbers in Aotearoa New Zealand&lt;/title&gt;&lt;/titles&gt;&lt;number&gt;5 May 2023&lt;/number&gt;&lt;dates&gt;&lt;year&gt;2023&lt;/year&gt;&lt;/dates&gt;&lt;urls&gt;&lt;related-urls&gt;&lt;url&gt;https://teaho.govt.nz/cancer-numbers&lt;/url&gt;&lt;/related-urls&gt;&lt;/urls&gt;&lt;/record&gt;&lt;/Cite&gt;&lt;/EndNote&gt;</w:instrText>
      </w:r>
      <w:r w:rsidRPr="0007414B">
        <w:rPr>
          <w:rStyle w:val="ui-provider"/>
          <w:rFonts w:cs="Segoe UI"/>
        </w:rPr>
        <w:fldChar w:fldCharType="separate"/>
      </w:r>
      <w:r w:rsidRPr="0007414B">
        <w:rPr>
          <w:rStyle w:val="ui-provider"/>
          <w:rFonts w:cs="Segoe UI"/>
        </w:rPr>
        <w:t>(Te Aho o Te Kahu Cancer Control Agency 2023b)</w:t>
      </w:r>
      <w:r w:rsidRPr="0007414B">
        <w:rPr>
          <w:rStyle w:val="ui-provider"/>
          <w:rFonts w:cs="Segoe UI"/>
        </w:rPr>
        <w:fldChar w:fldCharType="end"/>
      </w:r>
      <w:r w:rsidRPr="0007414B">
        <w:rPr>
          <w:rStyle w:val="ui-provider"/>
          <w:rFonts w:cs="Segoe UI"/>
        </w:rPr>
        <w:t xml:space="preserve">. However, considerable inequity persists for Māori compared with non-Māori. Over the past 22 years (between 1996 and 2018, up to the most recent year cancer mortality data is available), cancer deaths per 100,000 people decreased by 35.3% for Māori and by 28.3% for non-Māori </w:t>
      </w:r>
      <w:r w:rsidRPr="0007414B">
        <w:rPr>
          <w:rStyle w:val="ui-provider"/>
          <w:rFonts w:cs="Segoe UI"/>
        </w:rPr>
        <w:fldChar w:fldCharType="begin"/>
      </w:r>
      <w:r w:rsidRPr="0007414B">
        <w:rPr>
          <w:rStyle w:val="ui-provider"/>
          <w:rFonts w:cs="Segoe UI"/>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07414B">
        <w:rPr>
          <w:rStyle w:val="ui-provider"/>
          <w:rFonts w:cs="Segoe UI"/>
        </w:rPr>
        <w:fldChar w:fldCharType="separate"/>
      </w:r>
      <w:r w:rsidRPr="0007414B">
        <w:rPr>
          <w:rStyle w:val="ui-provider"/>
          <w:rFonts w:cs="Segoe UI"/>
        </w:rPr>
        <w:t>(Te Whatu Ora 2023h)</w:t>
      </w:r>
      <w:r w:rsidRPr="0007414B">
        <w:rPr>
          <w:rStyle w:val="ui-provider"/>
          <w:rFonts w:cs="Segoe UI"/>
        </w:rPr>
        <w:fldChar w:fldCharType="end"/>
      </w:r>
      <w:r w:rsidRPr="0007414B">
        <w:rPr>
          <w:rStyle w:val="ui-provider"/>
          <w:rFonts w:cs="Segoe UI"/>
        </w:rPr>
        <w:t xml:space="preserve">. </w:t>
      </w:r>
      <w:r w:rsidRPr="0007414B">
        <w:rPr>
          <w:rStyle w:val="ui-provider"/>
          <w:rFonts w:cs="Segoe UI"/>
        </w:rPr>
        <w:fldChar w:fldCharType="begin"/>
      </w:r>
      <w:r w:rsidRPr="0007414B">
        <w:rPr>
          <w:rFonts w:cs="Segoe UI"/>
          <w:sz w:val="20"/>
        </w:rPr>
        <w:instrText xml:space="preserve"> REF _Ref130970803 \h </w:instrText>
      </w:r>
      <w:r w:rsidRPr="0007414B">
        <w:rPr>
          <w:rStyle w:val="ui-provider"/>
          <w:rFonts w:cs="Segoe UI"/>
        </w:rPr>
        <w:instrText xml:space="preserve"> \* MERGEFORMAT </w:instrText>
      </w:r>
      <w:r w:rsidRPr="0007414B">
        <w:rPr>
          <w:rStyle w:val="ui-provider"/>
          <w:rFonts w:cs="Segoe UI"/>
        </w:rPr>
      </w:r>
      <w:r w:rsidRPr="0007414B">
        <w:rPr>
          <w:rStyle w:val="ui-provider"/>
          <w:rFonts w:cs="Segoe UI"/>
        </w:rPr>
        <w:fldChar w:fldCharType="separate"/>
      </w:r>
    </w:p>
    <w:p w14:paraId="7B4D52CF" w14:textId="77777777" w:rsidR="00BE208D" w:rsidRPr="00BE208D" w:rsidRDefault="00BE208D" w:rsidP="0041567E">
      <w:pPr>
        <w:rPr>
          <w:rFonts w:eastAsia="Calibri Light" w:cs="Segoe UI"/>
          <w:color w:val="595959" w:themeColor="text1" w:themeTint="A6"/>
          <w:sz w:val="20"/>
        </w:rPr>
      </w:pPr>
    </w:p>
    <w:p w14:paraId="5ECD694B" w14:textId="1376D26E" w:rsidR="0041567E" w:rsidRPr="0007414B" w:rsidRDefault="00BE208D" w:rsidP="0041567E">
      <w:pPr>
        <w:rPr>
          <w:rStyle w:val="ui-provider"/>
          <w:rFonts w:cs="Segoe UI"/>
        </w:rPr>
      </w:pPr>
      <w:r w:rsidRPr="00BE208D">
        <w:rPr>
          <w:rFonts w:cs="Segoe UI"/>
        </w:rPr>
        <w:t>Figure 13</w:t>
      </w:r>
      <w:r w:rsidR="0041567E" w:rsidRPr="0007414B">
        <w:rPr>
          <w:rStyle w:val="ui-provider"/>
          <w:rFonts w:cs="Segoe UI"/>
        </w:rPr>
        <w:fldChar w:fldCharType="end"/>
      </w:r>
      <w:r w:rsidR="0041567E" w:rsidRPr="0007414B">
        <w:rPr>
          <w:rStyle w:val="ui-provider"/>
          <w:rFonts w:cs="Segoe UI"/>
        </w:rPr>
        <w:t xml:space="preserve"> shows the changes in cancer mortality for Māori and non-Māori between 1996 and 2018. It highlights the inequity that Māori experience. </w:t>
      </w:r>
      <w:bookmarkStart w:id="66" w:name="_Ref130970803"/>
    </w:p>
    <w:p w14:paraId="094D4442" w14:textId="77777777" w:rsidR="0041567E" w:rsidRPr="0007414B" w:rsidRDefault="0041567E" w:rsidP="0041567E">
      <w:pPr>
        <w:rPr>
          <w:rFonts w:eastAsia="Calibri Light" w:cs="Segoe UI"/>
          <w:color w:val="595959" w:themeColor="text1" w:themeTint="A6"/>
          <w:sz w:val="20"/>
          <w:szCs w:val="18"/>
        </w:rPr>
      </w:pPr>
    </w:p>
    <w:p w14:paraId="74403B91" w14:textId="582F086A" w:rsidR="0041567E" w:rsidRPr="0007414B" w:rsidRDefault="0041567E" w:rsidP="0041567E">
      <w:pPr>
        <w:pStyle w:val="Figure"/>
      </w:pPr>
      <w:bookmarkStart w:id="67" w:name="_Toc138326955"/>
      <w:bookmarkStart w:id="68" w:name="_Toc138409936"/>
      <w:r w:rsidRPr="0007414B">
        <w:t xml:space="preserve">Figure </w:t>
      </w:r>
      <w:r>
        <w:fldChar w:fldCharType="begin"/>
      </w:r>
      <w:r>
        <w:instrText>SEQ Figure \* ARABIC</w:instrText>
      </w:r>
      <w:r>
        <w:fldChar w:fldCharType="separate"/>
      </w:r>
      <w:r w:rsidR="00BE208D">
        <w:rPr>
          <w:noProof/>
        </w:rPr>
        <w:t>13</w:t>
      </w:r>
      <w:r>
        <w:fldChar w:fldCharType="end"/>
      </w:r>
      <w:bookmarkEnd w:id="66"/>
      <w:r w:rsidRPr="0007414B">
        <w:t xml:space="preserve">: </w:t>
      </w:r>
      <w:r w:rsidRPr="0007414B">
        <w:rPr>
          <w:rStyle w:val="ui-provider"/>
        </w:rPr>
        <w:t>Cancer mortality rates per 100,000 people, Māori and non-Māori, 1996–2018</w:t>
      </w:r>
      <w:bookmarkEnd w:id="67"/>
      <w:bookmarkEnd w:id="68"/>
      <w:r w:rsidRPr="0007414B">
        <w:rPr>
          <w:rStyle w:val="ui-provider"/>
        </w:rPr>
        <w:t xml:space="preserve"> </w:t>
      </w:r>
    </w:p>
    <w:p w14:paraId="5F3A0E3A" w14:textId="77777777" w:rsidR="0041567E" w:rsidRPr="0007414B" w:rsidRDefault="0041567E" w:rsidP="0041567E">
      <w:pPr>
        <w:rPr>
          <w:rFonts w:cs="Segoe UI"/>
          <w:sz w:val="20"/>
        </w:rPr>
      </w:pPr>
      <w:r w:rsidRPr="0007414B">
        <w:rPr>
          <w:noProof/>
        </w:rPr>
        <w:drawing>
          <wp:inline distT="0" distB="0" distL="0" distR="0" wp14:anchorId="7E66ECA7" wp14:editId="75BD4C68">
            <wp:extent cx="5118538" cy="2559269"/>
            <wp:effectExtent l="0" t="0" r="6350" b="0"/>
            <wp:docPr id="1823296329" name="Picture 1823296329" descr="A line chart showing cancer mortality rates for Māori and Non-Māori between 1996 and 2018. Through the period of the chart, the rate for Māori remained higher compared to non-Māori, however this difference has reduced over time. The mortality rate for Māori decreased from 263.5 per 100,000 in 1996 to 170.6 per 100,000 in 2018. The mortality rate for non-Māori decreased from 150.0 per 100,000 in 1996 to 107.5 per 100,000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29" name="Picture 1823296329" descr="A line chart showing cancer mortality rates for Māori and Non-Māori between 1996 and 2018. Through the period of the chart, the rate for Māori remained higher compared to non-Māori, however this difference has reduced over time. The mortality rate for Māori decreased from 263.5 per 100,000 in 1996 to 170.6 per 100,000 in 2018. The mortality rate for non-Māori decreased from 150.0 per 100,000 in 1996 to 107.5 per 100,000 in 2018.&#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40669" cy="2570334"/>
                    </a:xfrm>
                    <a:prstGeom prst="rect">
                      <a:avLst/>
                    </a:prstGeom>
                  </pic:spPr>
                </pic:pic>
              </a:graphicData>
            </a:graphic>
          </wp:inline>
        </w:drawing>
      </w:r>
    </w:p>
    <w:p w14:paraId="5140BE48" w14:textId="77777777" w:rsidR="0041567E" w:rsidRPr="0041567E" w:rsidRDefault="0041567E" w:rsidP="0041567E">
      <w:pPr>
        <w:pStyle w:val="Source"/>
      </w:pPr>
      <w:r w:rsidRPr="0041567E">
        <w:t xml:space="preserve">Source: </w:t>
      </w:r>
      <w:hyperlink r:id="rId58">
        <w:r w:rsidRPr="0041567E">
          <w:rPr>
            <w:rStyle w:val="Hyperlink"/>
          </w:rPr>
          <w:t>Te Whatu Ora (2023h)</w:t>
        </w:r>
      </w:hyperlink>
    </w:p>
    <w:p w14:paraId="4F080DF4" w14:textId="77777777" w:rsidR="0041567E" w:rsidRPr="0007414B" w:rsidRDefault="0041567E" w:rsidP="0041567E">
      <w:pPr>
        <w:pStyle w:val="Heading4"/>
      </w:pPr>
      <w:r w:rsidRPr="0007414B">
        <w:t>Cancer survival</w:t>
      </w:r>
    </w:p>
    <w:p w14:paraId="030C37A4" w14:textId="1E4C03AF" w:rsidR="0041567E" w:rsidRPr="0007414B" w:rsidRDefault="0041567E" w:rsidP="0041567E">
      <w:r w:rsidRPr="0007414B">
        <w:t xml:space="preserve">Five-year survival rates have improved for some cancers over time. </w:t>
      </w:r>
      <w:r w:rsidRPr="0007414B">
        <w:fldChar w:fldCharType="begin"/>
      </w:r>
      <w:r w:rsidRPr="0007414B">
        <w:instrText xml:space="preserve"> REF _Ref135654757 \h  \* MERGEFORMAT </w:instrText>
      </w:r>
      <w:r w:rsidRPr="0007414B">
        <w:fldChar w:fldCharType="separate"/>
      </w:r>
      <w:r w:rsidR="00BE208D">
        <w:t>Figure 14</w:t>
      </w:r>
      <w:r w:rsidRPr="0007414B">
        <w:fldChar w:fldCharType="end"/>
      </w:r>
      <w:r w:rsidRPr="0007414B">
        <w:t xml:space="preserve"> shows the change in cancer survival for the 10 most commonly diagnosed cancers (by highest</w:t>
      </w:r>
      <w:r w:rsidRPr="0007414B">
        <w:rPr>
          <w:rStyle w:val="ui-provider"/>
          <w:rFonts w:cs="Segoe UI"/>
        </w:rPr>
        <w:t xml:space="preserve"> registration/incidence rate in 2020)</w:t>
      </w:r>
      <w:r w:rsidRPr="0007414B">
        <w:t xml:space="preserve"> in the 20 years between 199</w:t>
      </w:r>
      <w:r>
        <w:t xml:space="preserve">8 – 1999 </w:t>
      </w:r>
      <w:r w:rsidRPr="0007414B">
        <w:t>and 2018</w:t>
      </w:r>
      <w:r>
        <w:t xml:space="preserve"> – 2019</w:t>
      </w:r>
      <w:r w:rsidRPr="0007414B">
        <w:t xml:space="preserve">. </w:t>
      </w:r>
    </w:p>
    <w:p w14:paraId="06BF3492" w14:textId="77777777" w:rsidR="0041567E" w:rsidRPr="0007414B" w:rsidRDefault="0041567E" w:rsidP="0041567E">
      <w:pPr>
        <w:rPr>
          <w:rFonts w:cs="Segoe UI"/>
          <w:szCs w:val="21"/>
        </w:rPr>
      </w:pPr>
    </w:p>
    <w:p w14:paraId="70507C09" w14:textId="77777777" w:rsidR="0041567E" w:rsidRPr="0007414B" w:rsidRDefault="0041567E" w:rsidP="0041567E">
      <w:pPr>
        <w:rPr>
          <w:rFonts w:cs="Segoe UI"/>
        </w:rPr>
      </w:pPr>
      <w:r w:rsidRPr="0007414B">
        <w:rPr>
          <w:rFonts w:cs="Segoe UI"/>
        </w:rPr>
        <w:t>Survival improved markedly in non-Hodgkin’s lymphoma (up from 47.9% 5-year survival in 1998</w:t>
      </w:r>
      <w:r>
        <w:rPr>
          <w:rFonts w:cs="Segoe UI"/>
        </w:rPr>
        <w:t xml:space="preserve"> – 1999</w:t>
      </w:r>
      <w:r w:rsidRPr="0007414B">
        <w:rPr>
          <w:rFonts w:cs="Segoe UI"/>
        </w:rPr>
        <w:t xml:space="preserve"> to 68.3% survival in 2018</w:t>
      </w:r>
      <w:r>
        <w:rPr>
          <w:rFonts w:cs="Segoe UI"/>
        </w:rPr>
        <w:t xml:space="preserve"> – 2019</w:t>
      </w:r>
      <w:r w:rsidRPr="0007414B">
        <w:rPr>
          <w:rFonts w:cs="Segoe UI"/>
        </w:rPr>
        <w:t>) and leukaemia (up from 41.8% to 56.3%). More moderate increases occurred for female breast cancer and prostate cancer. The survival rates of patients with melanoma had not changed (at around 92% in both 1998</w:t>
      </w:r>
      <w:r>
        <w:rPr>
          <w:rFonts w:cs="Segoe UI"/>
        </w:rPr>
        <w:t xml:space="preserve"> – 1999</w:t>
      </w:r>
      <w:r w:rsidRPr="0007414B">
        <w:rPr>
          <w:rFonts w:cs="Segoe UI"/>
        </w:rPr>
        <w:t xml:space="preserve"> and 2018</w:t>
      </w:r>
      <w:r>
        <w:rPr>
          <w:rFonts w:cs="Segoe UI"/>
        </w:rPr>
        <w:t xml:space="preserve"> – 2019</w:t>
      </w:r>
      <w:r w:rsidRPr="0007414B">
        <w:rPr>
          <w:rFonts w:cs="Segoe UI"/>
        </w:rPr>
        <w:t xml:space="preserve">). </w:t>
      </w:r>
    </w:p>
    <w:p w14:paraId="5AB3628A" w14:textId="77777777" w:rsidR="0041567E" w:rsidRPr="0007414B" w:rsidRDefault="0041567E" w:rsidP="0041567E">
      <w:pPr>
        <w:rPr>
          <w:rFonts w:cs="Segoe UI"/>
          <w:szCs w:val="21"/>
        </w:rPr>
      </w:pPr>
    </w:p>
    <w:p w14:paraId="2ED82DD0" w14:textId="17586E55" w:rsidR="0041567E" w:rsidRPr="0007414B" w:rsidRDefault="0041567E" w:rsidP="0041567E">
      <w:pPr>
        <w:pStyle w:val="Figure"/>
      </w:pPr>
      <w:bookmarkStart w:id="69" w:name="_Ref131082292"/>
      <w:bookmarkStart w:id="70" w:name="_Ref135654757"/>
      <w:bookmarkStart w:id="71" w:name="_Ref131082288"/>
      <w:bookmarkStart w:id="72" w:name="_Toc138326956"/>
      <w:bookmarkStart w:id="73" w:name="_Toc138409937"/>
      <w:r>
        <w:lastRenderedPageBreak/>
        <w:t xml:space="preserve">Figure </w:t>
      </w:r>
      <w:fldSimple w:instr=" SEQ Figure \* ARABIC ">
        <w:r w:rsidR="00BE208D">
          <w:rPr>
            <w:noProof/>
          </w:rPr>
          <w:t>14</w:t>
        </w:r>
      </w:fldSimple>
      <w:bookmarkEnd w:id="69"/>
      <w:bookmarkEnd w:id="70"/>
      <w:r>
        <w:t>: Changes in cancer survival for the</w:t>
      </w:r>
      <w:r w:rsidDel="00391C84">
        <w:t xml:space="preserve"> </w:t>
      </w:r>
      <w:r>
        <w:t>10 most diagnosed cancers, 1998 – 1999 and 2018</w:t>
      </w:r>
      <w:bookmarkEnd w:id="71"/>
      <w:r>
        <w:t xml:space="preserve"> – 2019</w:t>
      </w:r>
      <w:bookmarkEnd w:id="72"/>
      <w:bookmarkEnd w:id="73"/>
    </w:p>
    <w:p w14:paraId="36624AB2" w14:textId="77777777" w:rsidR="0041567E" w:rsidRPr="0007414B" w:rsidRDefault="0041567E" w:rsidP="0041567E">
      <w:r>
        <w:rPr>
          <w:noProof/>
        </w:rPr>
        <w:drawing>
          <wp:inline distT="0" distB="0" distL="0" distR="0" wp14:anchorId="68A65C85" wp14:editId="1E724E79">
            <wp:extent cx="5129050" cy="2564524"/>
            <wp:effectExtent l="0" t="0" r="0" b="7620"/>
            <wp:docPr id="1344005771" name="Picture 1344005771" descr="This chart shows changes in 5-year survival rates from 1998–1999 to 2018–2019 for the ten most diagnosed cancer types. Survival rates improved for all ten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05771" name="Picture 1344005771" descr="This chart shows changes in 5-year survival rates from 1998–1999 to 2018–2019 for the ten most diagnosed cancer types. Survival rates improved for all ten cancers."/>
                    <pic:cNvPicPr/>
                  </pic:nvPicPr>
                  <pic:blipFill>
                    <a:blip r:embed="rId59"/>
                    <a:stretch>
                      <a:fillRect/>
                    </a:stretch>
                  </pic:blipFill>
                  <pic:spPr>
                    <a:xfrm>
                      <a:off x="0" y="0"/>
                      <a:ext cx="5146735" cy="2573366"/>
                    </a:xfrm>
                    <a:prstGeom prst="rect">
                      <a:avLst/>
                    </a:prstGeom>
                  </pic:spPr>
                </pic:pic>
              </a:graphicData>
            </a:graphic>
          </wp:inline>
        </w:drawing>
      </w:r>
    </w:p>
    <w:p w14:paraId="73D8691A" w14:textId="77777777" w:rsidR="0041567E" w:rsidRPr="0041567E" w:rsidRDefault="0041567E" w:rsidP="0041567E">
      <w:pPr>
        <w:pStyle w:val="Source"/>
      </w:pPr>
      <w:r w:rsidRPr="0041567E">
        <w:t>Source: Manatū Hauora unpublished data (2023)</w:t>
      </w:r>
    </w:p>
    <w:p w14:paraId="7F58266E" w14:textId="77777777" w:rsidR="0041567E" w:rsidRPr="0007414B" w:rsidRDefault="0041567E" w:rsidP="0041567E">
      <w:pPr>
        <w:pStyle w:val="Heading4"/>
      </w:pPr>
      <w:r w:rsidRPr="0007414B">
        <w:t>Diagnosis after an emergency admission</w:t>
      </w:r>
    </w:p>
    <w:p w14:paraId="73C74F7B" w14:textId="77777777" w:rsidR="0041567E" w:rsidRPr="0007414B" w:rsidRDefault="0041567E" w:rsidP="0041567E">
      <w:pPr>
        <w:rPr>
          <w:rFonts w:cs="Segoe UI"/>
        </w:rPr>
      </w:pPr>
      <w:r w:rsidRPr="0007414B">
        <w:rPr>
          <w:rStyle w:val="ui-provider"/>
          <w:rFonts w:cs="Segoe UI"/>
        </w:rPr>
        <w:t>Te Aho o Te Kahu Cancer Control Agency’s quality performance indicator</w:t>
      </w:r>
      <w:r w:rsidRPr="0007414B" w:rsidDel="009E05B1">
        <w:rPr>
          <w:rStyle w:val="ui-provider"/>
          <w:rFonts w:cs="Segoe UI"/>
        </w:rPr>
        <w:t xml:space="preserve"> </w:t>
      </w:r>
      <w:r w:rsidRPr="0007414B">
        <w:rPr>
          <w:rStyle w:val="ui-provider"/>
          <w:rFonts w:cs="Segoe UI"/>
        </w:rPr>
        <w:t>programme aims to highlight variation in cancer diagnosis, treatment</w:t>
      </w:r>
      <w:r w:rsidRPr="0007414B" w:rsidDel="009E05B1">
        <w:rPr>
          <w:rStyle w:val="ui-provider"/>
          <w:rFonts w:cs="Segoe UI"/>
        </w:rPr>
        <w:t>,</w:t>
      </w:r>
      <w:r w:rsidRPr="0007414B">
        <w:rPr>
          <w:rStyle w:val="ui-provider"/>
          <w:rFonts w:cs="Segoe UI"/>
        </w:rPr>
        <w:t xml:space="preserve"> and outcomes to inform activities aiming to improve cancer service quality </w:t>
      </w:r>
      <w:r w:rsidRPr="0007414B">
        <w:rPr>
          <w:rStyle w:val="ui-provider"/>
          <w:rFonts w:cs="Segoe UI"/>
        </w:rPr>
        <w:fldChar w:fldCharType="begin"/>
      </w:r>
      <w:r w:rsidRPr="0007414B">
        <w:rPr>
          <w:rStyle w:val="ui-provider"/>
          <w:rFonts w:cs="Segoe UI"/>
        </w:rPr>
        <w:instrText xml:space="preserve"> ADDIN EN.CITE &lt;EndNote&gt;&lt;Cite&gt;&lt;Author&gt;Te Aho o Te Kahu Cancer Control Agency&lt;/Author&gt;&lt;Year&gt;2022&lt;/Year&gt;&lt;RecNum&gt;373&lt;/RecNum&gt;&lt;DisplayText&gt;(Te Aho o Te Kahu Cancer Control Agency 2022)&lt;/DisplayText&gt;&lt;record&gt;&lt;rec-number&gt;373&lt;/rec-number&gt;&lt;foreign-keys&gt;&lt;key app="EN" db-id="aaepvppzs5wtfse95vsp2wahsrtvva2vvdet" timestamp="1684365771"&gt;373&lt;/key&gt;&lt;/foreign-keys&gt;&lt;ref-type name="Web Page"&gt;12&lt;/ref-type&gt;&lt;contributors&gt;&lt;authors&gt;&lt;author&gt;Te Aho o Te Kahu Cancer Control Agency,&lt;/author&gt;&lt;/authors&gt;&lt;/contributors&gt;&lt;titles&gt;&lt;title&gt;Cancer Quality Performance Indicator Programme&lt;/title&gt;&lt;/titles&gt;&lt;number&gt;18 May 2023&lt;/number&gt;&lt;dates&gt;&lt;year&gt;2022&lt;/year&gt;&lt;/dates&gt;&lt;urls&gt;&lt;related-urls&gt;&lt;url&gt;https://teaho.govt.nz/reports/qpi&lt;/url&gt;&lt;/related-urls&gt;&lt;/urls&gt;&lt;/record&gt;&lt;/Cite&gt;&lt;/EndNote&gt;</w:instrText>
      </w:r>
      <w:r w:rsidRPr="0007414B">
        <w:rPr>
          <w:rStyle w:val="ui-provider"/>
          <w:rFonts w:cs="Segoe UI"/>
        </w:rPr>
        <w:fldChar w:fldCharType="separate"/>
      </w:r>
      <w:r w:rsidRPr="0007414B">
        <w:rPr>
          <w:rStyle w:val="ui-provider"/>
          <w:rFonts w:cs="Segoe UI"/>
        </w:rPr>
        <w:t>(Te Aho o Te Kahu Cancer Control Agency 2022)</w:t>
      </w:r>
      <w:r w:rsidRPr="0007414B">
        <w:rPr>
          <w:rStyle w:val="ui-provider"/>
          <w:rFonts w:cs="Segoe UI"/>
        </w:rPr>
        <w:fldChar w:fldCharType="end"/>
      </w:r>
      <w:r w:rsidRPr="0007414B">
        <w:rPr>
          <w:rStyle w:val="ui-provider"/>
          <w:rFonts w:cs="Segoe UI"/>
        </w:rPr>
        <w:t xml:space="preserve">. </w:t>
      </w:r>
      <w:r w:rsidRPr="0007414B">
        <w:rPr>
          <w:rFonts w:cs="Segoe UI"/>
        </w:rPr>
        <w:t xml:space="preserve">A key indicator in this programme reports on </w:t>
      </w:r>
      <w:r w:rsidRPr="0007414B">
        <w:rPr>
          <w:rFonts w:cs="Segoe UI"/>
          <w:sz w:val="22"/>
          <w:szCs w:val="22"/>
        </w:rPr>
        <w:t xml:space="preserve">the proportion of people diagnosed with a specific cancer soon after an unplanned or emergency admission to hospital. </w:t>
      </w:r>
      <w:r w:rsidRPr="0007414B">
        <w:rPr>
          <w:rFonts w:cs="Segoe UI"/>
        </w:rPr>
        <w:t>This indicator is important for improving patient outcomes because people whose cancer is diagnosed after an emergency or acute admission to hospital tend to have poorer outcomes and survival rates than patients with non-emergency diagnoses.</w:t>
      </w:r>
    </w:p>
    <w:p w14:paraId="404115E6" w14:textId="77777777" w:rsidR="0041567E" w:rsidRPr="0007414B" w:rsidRDefault="0041567E" w:rsidP="0041567E">
      <w:pPr>
        <w:rPr>
          <w:rFonts w:cs="Segoe UI"/>
        </w:rPr>
      </w:pPr>
    </w:p>
    <w:p w14:paraId="1BF1E7E8" w14:textId="77777777" w:rsidR="0041567E" w:rsidRPr="0007414B" w:rsidRDefault="0041567E" w:rsidP="0041567E">
      <w:pPr>
        <w:rPr>
          <w:rFonts w:cs="Segoe UI"/>
        </w:rPr>
      </w:pPr>
      <w:r w:rsidRPr="0007414B">
        <w:rPr>
          <w:rFonts w:cs="Segoe UI"/>
        </w:rPr>
        <w:t xml:space="preserve">In Aotearoa New Zealand, cancers diagnosed during an emergency presentation included 45.0% of lung cancers between 2015 and 2018 </w:t>
      </w:r>
      <w:r w:rsidRPr="0007414B">
        <w:rPr>
          <w:rFonts w:cs="Segoe UI"/>
        </w:rPr>
        <w:fldChar w:fldCharType="begin"/>
      </w:r>
      <w:r w:rsidRPr="0007414B">
        <w:rPr>
          <w:rFonts w:cs="Segoe UI"/>
        </w:rPr>
        <w:instrText xml:space="preserve"> ADDIN EN.CITE &lt;EndNote&gt;&lt;Cite&gt;&lt;Author&gt;Te Aho o Te Kahu Cancer Control Agency&lt;/Author&gt;&lt;Year&gt;2023&lt;/Year&gt;&lt;RecNum&gt;298&lt;/RecNum&gt;&lt;DisplayText&gt;(Te Aho o Te Kahu Cancer Control Agency 2023c)&lt;/DisplayText&gt;&lt;record&gt;&lt;rec-number&gt;298&lt;/rec-number&gt;&lt;foreign-keys&gt;&lt;key app="EN" db-id="aaepvppzs5wtfse95vsp2wahsrtvva2vvdet" timestamp="1683252689"&gt;298&lt;/key&gt;&lt;/foreign-keys&gt;&lt;ref-type name="Web Page"&gt;12&lt;/ref-type&gt;&lt;contributors&gt;&lt;authors&gt;&lt;author&gt;Te Aho o Te Kahu Cancer Control Agency,&lt;/author&gt;&lt;/authors&gt;&lt;/contributors&gt;&lt;titles&gt;&lt;title&gt;Lung cancer quality performance indicators&lt;/title&gt;&lt;/titles&gt;&lt;number&gt;5 May 2023&lt;/number&gt;&lt;dates&gt;&lt;year&gt;2023&lt;/year&gt;&lt;/dates&gt;&lt;urls&gt;&lt;related-urls&gt;&lt;url&gt;https://teaho.govt.nz/reports/qpi/qpi-lung&lt;/url&gt;&lt;/related-urls&gt;&lt;/urls&gt;&lt;/record&gt;&lt;/Cite&gt;&lt;/EndNote&gt;</w:instrText>
      </w:r>
      <w:r w:rsidRPr="0007414B">
        <w:rPr>
          <w:rFonts w:cs="Segoe UI"/>
        </w:rPr>
        <w:fldChar w:fldCharType="separate"/>
      </w:r>
      <w:r w:rsidRPr="0007414B">
        <w:rPr>
          <w:rFonts w:cs="Segoe UI"/>
        </w:rPr>
        <w:t>(Te Aho o Te Kahu Cancer Control Agency 2023c)</w:t>
      </w:r>
      <w:r w:rsidRPr="0007414B">
        <w:rPr>
          <w:rFonts w:cs="Segoe UI"/>
        </w:rPr>
        <w:fldChar w:fldCharType="end"/>
      </w:r>
      <w:r w:rsidRPr="0007414B">
        <w:rPr>
          <w:rFonts w:cs="Segoe UI"/>
        </w:rPr>
        <w:t xml:space="preserve"> and 26.3% of bowel cancers between 2017 and 2019 </w:t>
      </w:r>
      <w:r w:rsidRPr="0007414B">
        <w:rPr>
          <w:rFonts w:cs="Segoe UI"/>
        </w:rPr>
        <w:fldChar w:fldCharType="begin"/>
      </w:r>
      <w:r w:rsidRPr="0007414B">
        <w:rPr>
          <w:rFonts w:cs="Segoe UI"/>
        </w:rPr>
        <w:instrText xml:space="preserve"> ADDIN EN.CITE &lt;EndNote&gt;&lt;Cite&gt;&lt;Author&gt;Te Aho o Te Kahu Cancer Control Agency&lt;/Author&gt;&lt;Year&gt;2023&lt;/Year&gt;&lt;RecNum&gt;299&lt;/RecNum&gt;&lt;DisplayText&gt;(Te Aho o Te Kahu Cancer Control Agency 2023a)&lt;/DisplayText&gt;&lt;record&gt;&lt;rec-number&gt;299&lt;/rec-number&gt;&lt;foreign-keys&gt;&lt;key app="EN" db-id="aaepvppzs5wtfse95vsp2wahsrtvva2vvdet" timestamp="1683252764"&gt;299&lt;/key&gt;&lt;/foreign-keys&gt;&lt;ref-type name="Web Page"&gt;12&lt;/ref-type&gt;&lt;contributors&gt;&lt;authors&gt;&lt;author&gt;Te Aho o Te Kahu Cancer Control Agency,&lt;/author&gt;&lt;/authors&gt;&lt;/contributors&gt;&lt;titles&gt;&lt;title&gt;Bowel cancer quality performance indicators&lt;/title&gt;&lt;/titles&gt;&lt;number&gt;5 May 2023&lt;/number&gt;&lt;dates&gt;&lt;year&gt;2023&lt;/year&gt;&lt;/dates&gt;&lt;urls&gt;&lt;related-urls&gt;&lt;url&gt;https://teaho.govt.nz/reports/qpi/qpi-bowel&lt;/url&gt;&lt;/related-urls&gt;&lt;/urls&gt;&lt;/record&gt;&lt;/Cite&gt;&lt;/EndNote&gt;</w:instrText>
      </w:r>
      <w:r w:rsidRPr="0007414B">
        <w:rPr>
          <w:rFonts w:cs="Segoe UI"/>
        </w:rPr>
        <w:fldChar w:fldCharType="separate"/>
      </w:r>
      <w:r w:rsidRPr="0007414B">
        <w:rPr>
          <w:rFonts w:cs="Segoe UI"/>
        </w:rPr>
        <w:t>(Te Aho o Te Kahu Cancer Control Agency 2023a)</w:t>
      </w:r>
      <w:r w:rsidRPr="0007414B">
        <w:rPr>
          <w:rFonts w:cs="Segoe UI"/>
        </w:rPr>
        <w:fldChar w:fldCharType="end"/>
      </w:r>
      <w:r w:rsidRPr="0007414B">
        <w:rPr>
          <w:rFonts w:cs="Segoe UI"/>
        </w:rPr>
        <w:t>. The data shows inequity for Māori and Pacific peoples, who have a higher percentage of people</w:t>
      </w:r>
      <w:r w:rsidRPr="0007414B" w:rsidDel="00B85B23">
        <w:rPr>
          <w:rFonts w:cs="Segoe UI"/>
        </w:rPr>
        <w:t xml:space="preserve"> </w:t>
      </w:r>
      <w:r w:rsidRPr="0007414B">
        <w:rPr>
          <w:rFonts w:cs="Segoe UI"/>
        </w:rPr>
        <w:t>diagnosed after an emergency admission, compared with other ethnic groups.</w:t>
      </w:r>
    </w:p>
    <w:p w14:paraId="6A99867B" w14:textId="77777777" w:rsidR="0041567E" w:rsidRPr="0007414B" w:rsidRDefault="0041567E" w:rsidP="0041567E">
      <w:pPr>
        <w:pStyle w:val="Heading3"/>
      </w:pPr>
      <w:r w:rsidRPr="0007414B">
        <w:t>Chronic pain</w:t>
      </w:r>
    </w:p>
    <w:p w14:paraId="1EC90330" w14:textId="77777777" w:rsidR="0041567E" w:rsidRPr="0007414B" w:rsidRDefault="0041567E" w:rsidP="0041567E">
      <w:pPr>
        <w:rPr>
          <w:rFonts w:eastAsiaTheme="minorEastAsia" w:cs="Segoe UI"/>
        </w:rPr>
      </w:pPr>
      <w:r w:rsidRPr="0007414B">
        <w:rPr>
          <w:rFonts w:eastAsiaTheme="minorEastAsia" w:cs="Segoe UI"/>
        </w:rPr>
        <w:t>The Health Survey defines chronic pain as experiencing pain that is present almost every day and has lasted</w:t>
      </w:r>
      <w:r w:rsidRPr="0007414B" w:rsidDel="00B85B23">
        <w:rPr>
          <w:rFonts w:eastAsiaTheme="minorEastAsia" w:cs="Segoe UI"/>
        </w:rPr>
        <w:t>,</w:t>
      </w:r>
      <w:r w:rsidRPr="0007414B">
        <w:rPr>
          <w:rFonts w:eastAsiaTheme="minorEastAsia" w:cs="Segoe UI"/>
        </w:rPr>
        <w:t xml:space="preserve"> or is expected to last</w:t>
      </w:r>
      <w:r>
        <w:rPr>
          <w:rFonts w:eastAsiaTheme="minorEastAsia" w:cs="Segoe UI"/>
        </w:rPr>
        <w:t>,</w:t>
      </w:r>
      <w:r w:rsidRPr="0007414B">
        <w:rPr>
          <w:rFonts w:eastAsiaTheme="minorEastAsia" w:cs="Segoe UI"/>
        </w:rPr>
        <w:t xml:space="preserve"> more than</w:t>
      </w:r>
      <w:r w:rsidRPr="0007414B" w:rsidDel="00B85B23">
        <w:rPr>
          <w:rFonts w:eastAsiaTheme="minorEastAsia" w:cs="Segoe UI"/>
        </w:rPr>
        <w:t xml:space="preserve"> </w:t>
      </w:r>
      <w:r w:rsidRPr="0007414B">
        <w:rPr>
          <w:rFonts w:eastAsiaTheme="minorEastAsia" w:cs="Segoe UI"/>
        </w:rPr>
        <w:t xml:space="preserve">6 months </w:t>
      </w:r>
      <w:r w:rsidRPr="0007414B">
        <w:rPr>
          <w:rFonts w:eastAsiaTheme="minorEastAsia" w:cs="Segoe UI"/>
        </w:rPr>
        <w:fldChar w:fldCharType="begin"/>
      </w:r>
      <w:r w:rsidRPr="0007414B">
        <w:rPr>
          <w:rFonts w:eastAsiaTheme="minorEastAsia"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eastAsiaTheme="minorEastAsia" w:cs="Segoe UI"/>
        </w:rPr>
        <w:fldChar w:fldCharType="separate"/>
      </w:r>
      <w:r w:rsidRPr="0007414B">
        <w:rPr>
          <w:rFonts w:eastAsiaTheme="minorEastAsia" w:cs="Segoe UI"/>
        </w:rPr>
        <w:t>(Manatū Hauora 2023a)</w:t>
      </w:r>
      <w:r w:rsidRPr="0007414B">
        <w:rPr>
          <w:rFonts w:eastAsiaTheme="minorEastAsia" w:cs="Segoe UI"/>
        </w:rPr>
        <w:fldChar w:fldCharType="end"/>
      </w:r>
      <w:r w:rsidRPr="0007414B">
        <w:rPr>
          <w:rFonts w:eastAsiaTheme="minorEastAsia" w:cs="Segoe UI"/>
        </w:rPr>
        <w:t xml:space="preserve">. Data from the </w:t>
      </w:r>
      <w:r w:rsidRPr="0007414B">
        <w:rPr>
          <w:rFonts w:cs="Segoe UI"/>
        </w:rPr>
        <w:t xml:space="preserve">3-year pooled period ending </w:t>
      </w:r>
      <w:r w:rsidRPr="0007414B">
        <w:rPr>
          <w:rFonts w:eastAsia="Calibri Light" w:cs="Segoe UI"/>
        </w:rPr>
        <w:t>2021/22 shows:</w:t>
      </w:r>
    </w:p>
    <w:p w14:paraId="208C0E7F" w14:textId="77777777" w:rsidR="0041567E" w:rsidRPr="0007414B" w:rsidRDefault="0041567E" w:rsidP="0041567E">
      <w:pPr>
        <w:pStyle w:val="Bullet"/>
      </w:pPr>
      <w:r w:rsidRPr="0007414B">
        <w:t>a higher percentage of women (22.2%) experienced chronic pain than men (19.1%), especially in older age groups where 34.1% of women over 65 years of age experienced chronic pain, compared with 28.5% of men in that age group</w:t>
      </w:r>
    </w:p>
    <w:p w14:paraId="3814F19C" w14:textId="77777777" w:rsidR="0041567E" w:rsidRPr="0007414B" w:rsidRDefault="0041567E" w:rsidP="0041567E">
      <w:pPr>
        <w:pStyle w:val="Bullet"/>
      </w:pPr>
      <w:r w:rsidRPr="0007414B">
        <w:t>the percentage of people experiencing chronic pain was higher for Māori adults (24.2%) and European/other adults (22.3%) than for Pacific adults (18.4%) and Asian adults (11.3%)</w:t>
      </w:r>
    </w:p>
    <w:p w14:paraId="1685AE7D" w14:textId="77777777" w:rsidR="0041567E" w:rsidRPr="0007414B" w:rsidRDefault="0041567E" w:rsidP="0041567E">
      <w:pPr>
        <w:pStyle w:val="Bullet"/>
      </w:pPr>
      <w:r w:rsidRPr="0007414B">
        <w:lastRenderedPageBreak/>
        <w:t>a markedly higher percentage of disabled adults (50.7%) experienced chronic pain, compared with non-disabled adults (17.8%)</w:t>
      </w:r>
    </w:p>
    <w:p w14:paraId="2183A975" w14:textId="77777777" w:rsidR="0041567E" w:rsidRPr="0007414B" w:rsidRDefault="0041567E" w:rsidP="0041567E">
      <w:pPr>
        <w:pStyle w:val="Bullet"/>
      </w:pPr>
      <w:r w:rsidRPr="0007414B">
        <w:t>a higher percentage of people living rurally reported experiencing chronic pain, compared with those living in urban areas.</w:t>
      </w:r>
    </w:p>
    <w:p w14:paraId="1210D570" w14:textId="77777777" w:rsidR="0041567E" w:rsidRPr="0007414B" w:rsidRDefault="0041567E" w:rsidP="0041567E">
      <w:pPr>
        <w:pStyle w:val="Heading3"/>
      </w:pPr>
      <w:r w:rsidRPr="0007414B">
        <w:t>Diabetes</w:t>
      </w:r>
    </w:p>
    <w:p w14:paraId="2AD8E867" w14:textId="0841C10F" w:rsidR="0041567E" w:rsidRPr="0007414B" w:rsidRDefault="0041567E" w:rsidP="0041567E">
      <w:r w:rsidRPr="0007414B">
        <w:t xml:space="preserve">There were 292,365 people in Aotearoa New Zealand living with diabetes in 2021 </w:t>
      </w:r>
      <w:r w:rsidRPr="0007414B">
        <w:fldChar w:fldCharType="begin"/>
      </w:r>
      <w:r>
        <w:instrText xml:space="preserve"> ADDIN EN.CITE &lt;EndNote&gt;&lt;Cite&gt;&lt;Author&gt;Te Whatu Ora&lt;/Author&gt;&lt;Year&gt;2023&lt;/Year&gt;&lt;RecNum&gt;42&lt;/RecNum&gt;&lt;DisplayText&gt;(Te Whatu Ora 2023n)&lt;/DisplayText&gt;&lt;record&gt;&lt;rec-number&gt;42&lt;/rec-number&gt;&lt;foreign-keys&gt;&lt;key app="EN" db-id="aaepvppzs5wtfse95vsp2wahsrtvva2vvdet" timestamp="1632343322"&gt;42&lt;/key&gt;&lt;/foreign-keys&gt;&lt;ref-type name="Web Page"&gt;12&lt;/ref-type&gt;&lt;contributors&gt;&lt;authors&gt;&lt;author&gt;Te Whatu Ora,&lt;/author&gt;&lt;/authors&gt;&lt;/contributors&gt;&lt;titles&gt;&lt;title&gt;Virtual Diabetes Register web tool (Data file)&lt;/title&gt;&lt;/titles&gt;&lt;number&gt;28 April 2023&lt;/number&gt;&lt;dates&gt;&lt;year&gt;2023&lt;/year&gt;&lt;/dates&gt;&lt;urls&gt;&lt;related-urls&gt;&lt;url&gt;https://tewhatuora.shinyapps.io/virtual-diabetes-register-web-tool/&lt;/url&gt;&lt;/related-urls&gt;&lt;/urls&gt;&lt;/record&gt;&lt;/Cite&gt;&lt;/EndNote&gt;</w:instrText>
      </w:r>
      <w:r w:rsidRPr="0007414B">
        <w:fldChar w:fldCharType="separate"/>
      </w:r>
      <w:r>
        <w:rPr>
          <w:noProof/>
        </w:rPr>
        <w:t>(Te Whatu Ora 2023n)</w:t>
      </w:r>
      <w:r w:rsidRPr="0007414B">
        <w:fldChar w:fldCharType="end"/>
      </w:r>
      <w:r w:rsidRPr="0007414B">
        <w:t>.</w:t>
      </w:r>
      <w:r>
        <w:t xml:space="preserve"> Prevalence of b</w:t>
      </w:r>
      <w:r w:rsidRPr="0007414B">
        <w:t xml:space="preserve">oth type 1 and especially type 2 diabetes </w:t>
      </w:r>
      <w:r>
        <w:t>is</w:t>
      </w:r>
      <w:r w:rsidRPr="0007414B">
        <w:t xml:space="preserve"> </w:t>
      </w:r>
      <w:r>
        <w:t>increasing</w:t>
      </w:r>
      <w:r w:rsidRPr="0007414B">
        <w:t xml:space="preserve"> (Manatū Hauora 2022f). Among the top 10 causes of health loss (early death, illness or disability), diabetes was the seventh-highest cause of health loss in 2019, and had increased by 34.5% between 2009 and 2019 (see</w:t>
      </w:r>
      <w:r>
        <w:t xml:space="preserve">: </w:t>
      </w:r>
      <w:r w:rsidR="004B1165">
        <w:fldChar w:fldCharType="begin"/>
      </w:r>
      <w:r w:rsidR="004B1165">
        <w:instrText xml:space="preserve"> REF _Ref138408182 \h </w:instrText>
      </w:r>
      <w:r w:rsidR="004B1165">
        <w:fldChar w:fldCharType="separate"/>
      </w:r>
      <w:r w:rsidR="00BE208D">
        <w:t xml:space="preserve">Table </w:t>
      </w:r>
      <w:r w:rsidR="00BE208D">
        <w:rPr>
          <w:noProof/>
        </w:rPr>
        <w:t>3</w:t>
      </w:r>
      <w:r w:rsidR="004B1165">
        <w:fldChar w:fldCharType="end"/>
      </w:r>
      <w:r w:rsidR="004B1165">
        <w:t xml:space="preserve"> </w:t>
      </w:r>
      <w:r w:rsidRPr="0007414B">
        <w:t>at the start of this section</w:t>
      </w:r>
      <w:r>
        <w:t xml:space="preserve">; </w:t>
      </w:r>
      <w:r>
        <w:fldChar w:fldCharType="begin"/>
      </w:r>
      <w:r>
        <w:instrText xml:space="preserve"> ADDIN EN.CITE &lt;EndNote&gt;&lt;Cite&gt;&lt;Author&gt;Institute for Health Metrics and Evaluation&lt;/Author&gt;&lt;Year&gt;2020&lt;/Year&gt;&lt;RecNum&gt;30&lt;/RecNum&gt;&lt;DisplayText&gt;(Institute for Health Metrics and Evaluation 2020a)&lt;/DisplayText&gt;&lt;record&gt;&lt;rec-number&gt;30&lt;/rec-number&gt;&lt;foreign-keys&gt;&lt;key app="EN" db-id="aaepvppzs5wtfse95vsp2wahsrtvva2vvdet" timestamp="1632282596"&gt;30&lt;/key&gt;&lt;/foreign-keys&gt;&lt;ref-type name="Web Page"&gt;12&lt;/ref-type&gt;&lt;contributors&gt;&lt;authors&gt;&lt;author&gt;Institute for Health Metrics and Evaluation,&lt;/author&gt;&lt;/authors&gt;&lt;/contributors&gt;&lt;titles&gt;&lt;title&gt;Global Burden of Disease (GBD)&lt;/title&gt;&lt;/titles&gt;&lt;number&gt;5 May 2023&lt;/number&gt;&lt;dates&gt;&lt;year&gt;2020&lt;/year&gt;&lt;/dates&gt;&lt;pub-location&gt;Seattle, WA: Institute for Health Metrics and Evaluation&lt;/pub-location&gt;&lt;urls&gt;&lt;related-urls&gt;&lt;url&gt;https://vizhub.healthdata.org/gbd-results/&lt;/url&gt;&lt;/related-urls&gt;&lt;/urls&gt;&lt;/record&gt;&lt;/Cite&gt;&lt;/EndNote&gt;</w:instrText>
      </w:r>
      <w:r>
        <w:fldChar w:fldCharType="separate"/>
      </w:r>
      <w:r>
        <w:rPr>
          <w:noProof/>
        </w:rPr>
        <w:t>Institute for Health Metrics and Evaluation 2020a)</w:t>
      </w:r>
      <w:r>
        <w:fldChar w:fldCharType="end"/>
      </w:r>
      <w:r w:rsidRPr="0007414B">
        <w:t>.</w:t>
      </w:r>
    </w:p>
    <w:p w14:paraId="5E589287" w14:textId="77777777" w:rsidR="0041567E" w:rsidRPr="0007414B" w:rsidRDefault="0041567E" w:rsidP="0041567E">
      <w:pPr>
        <w:rPr>
          <w:rFonts w:cs="Segoe UI"/>
        </w:rPr>
      </w:pPr>
    </w:p>
    <w:p w14:paraId="06FA4074" w14:textId="77777777" w:rsidR="0041567E" w:rsidRPr="0007414B" w:rsidRDefault="0041567E" w:rsidP="0041567E">
      <w:pPr>
        <w:rPr>
          <w:rFonts w:cs="Segoe UI"/>
        </w:rPr>
      </w:pPr>
      <w:r w:rsidRPr="0007414B">
        <w:rPr>
          <w:rFonts w:cs="Segoe UI"/>
        </w:rPr>
        <w:t xml:space="preserve">In 2020, diabetes accounted for 953 deaths, a rate of 10.3 deaths per 100,000 population </w:t>
      </w:r>
      <w:r w:rsidRPr="0007414B">
        <w:rPr>
          <w:rFonts w:cs="Segoe UI"/>
        </w:rPr>
        <w:fldChar w:fldCharType="begin"/>
      </w:r>
      <w:r w:rsidRPr="0007414B">
        <w:rPr>
          <w:rFonts w:cs="Segoe UI"/>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07414B">
        <w:rPr>
          <w:rFonts w:cs="Segoe UI"/>
        </w:rPr>
        <w:fldChar w:fldCharType="separate"/>
      </w:r>
      <w:r w:rsidRPr="0007414B">
        <w:rPr>
          <w:rFonts w:cs="Segoe UI"/>
        </w:rPr>
        <w:t>(Te Whatu Ora 2023h)</w:t>
      </w:r>
      <w:r w:rsidRPr="0007414B">
        <w:rPr>
          <w:rFonts w:cs="Segoe UI"/>
        </w:rPr>
        <w:fldChar w:fldCharType="end"/>
      </w:r>
      <w:r w:rsidRPr="0007414B">
        <w:rPr>
          <w:rFonts w:cs="Segoe UI"/>
        </w:rPr>
        <w:t>. Within the total deaths from this disease:</w:t>
      </w:r>
    </w:p>
    <w:p w14:paraId="49875BD6" w14:textId="77777777" w:rsidR="0041567E" w:rsidRPr="0007414B" w:rsidRDefault="0041567E" w:rsidP="0041567E">
      <w:pPr>
        <w:pStyle w:val="Bullet"/>
      </w:pPr>
      <w:r w:rsidRPr="0007414B">
        <w:t>the rate for Māori was 29.5 deaths per 100,000 population, compared</w:t>
      </w:r>
      <w:r w:rsidRPr="0007414B" w:rsidDel="00001768">
        <w:t xml:space="preserve"> </w:t>
      </w:r>
      <w:r w:rsidRPr="0007414B">
        <w:t>with 8.5 deaths per 100,000 population for non-Māori.</w:t>
      </w:r>
    </w:p>
    <w:p w14:paraId="68DAF556" w14:textId="77777777" w:rsidR="0041567E" w:rsidRPr="0007414B" w:rsidRDefault="0041567E" w:rsidP="0041567E">
      <w:pPr>
        <w:pStyle w:val="Bullet"/>
        <w:rPr>
          <w:rFonts w:eastAsiaTheme="minorEastAsia"/>
          <w:lang w:eastAsia="en-US"/>
        </w:rPr>
      </w:pPr>
      <w:r w:rsidRPr="0007414B">
        <w:rPr>
          <w:rFonts w:eastAsiaTheme="minorEastAsia"/>
          <w:lang w:eastAsia="en-US"/>
        </w:rPr>
        <w:t>the rate for women was 8.1 per 100,000 population, and the rate for men was 12.9 per 100,000 population.</w:t>
      </w:r>
    </w:p>
    <w:p w14:paraId="3302C0DB" w14:textId="77777777" w:rsidR="0041567E" w:rsidRPr="0007414B" w:rsidRDefault="0041567E" w:rsidP="0041567E">
      <w:pPr>
        <w:rPr>
          <w:rFonts w:cs="Segoe UI"/>
        </w:rPr>
      </w:pPr>
    </w:p>
    <w:p w14:paraId="0BAD5885" w14:textId="0C686F65" w:rsidR="0041567E" w:rsidRPr="0007414B" w:rsidRDefault="0041567E" w:rsidP="004B1165">
      <w:pPr>
        <w:ind w:right="-208"/>
        <w:rPr>
          <w:rFonts w:cs="Segoe UI"/>
        </w:rPr>
      </w:pPr>
      <w:r w:rsidRPr="0007414B">
        <w:rPr>
          <w:rFonts w:cs="Segoe UI"/>
        </w:rPr>
        <w:t xml:space="preserve">The rate of diabetes was higher among Māori, Pacific peoples and South Asian peoples than other ethnic groups </w:t>
      </w:r>
      <w:r w:rsidRPr="0007414B">
        <w:rPr>
          <w:rFonts w:cs="Segoe UI"/>
        </w:rPr>
        <w:fldChar w:fldCharType="begin"/>
      </w:r>
      <w:r>
        <w:rPr>
          <w:rFonts w:cs="Segoe UI"/>
        </w:rPr>
        <w:instrText xml:space="preserve"> ADDIN EN.CITE &lt;EndNote&gt;&lt;Cite&gt;&lt;Author&gt;Te Whatu Ora&lt;/Author&gt;&lt;Year&gt;2023&lt;/Year&gt;&lt;RecNum&gt;42&lt;/RecNum&gt;&lt;DisplayText&gt;(Te Whatu Ora 2023n)&lt;/DisplayText&gt;&lt;record&gt;&lt;rec-number&gt;42&lt;/rec-number&gt;&lt;foreign-keys&gt;&lt;key app="EN" db-id="aaepvppzs5wtfse95vsp2wahsrtvva2vvdet" timestamp="1632343322"&gt;42&lt;/key&gt;&lt;/foreign-keys&gt;&lt;ref-type name="Web Page"&gt;12&lt;/ref-type&gt;&lt;contributors&gt;&lt;authors&gt;&lt;author&gt;Te Whatu Ora,&lt;/author&gt;&lt;/authors&gt;&lt;/contributors&gt;&lt;titles&gt;&lt;title&gt;Virtual Diabetes Register web tool (Data file)&lt;/title&gt;&lt;/titles&gt;&lt;number&gt;28 April 2023&lt;/number&gt;&lt;dates&gt;&lt;year&gt;2023&lt;/year&gt;&lt;/dates&gt;&lt;urls&gt;&lt;related-urls&gt;&lt;url&gt;https://tewhatuora.shinyapps.io/virtual-diabetes-register-web-tool/&lt;/url&gt;&lt;/related-urls&gt;&lt;/urls&gt;&lt;/record&gt;&lt;/Cite&gt;&lt;/EndNote&gt;</w:instrText>
      </w:r>
      <w:r w:rsidRPr="0007414B">
        <w:rPr>
          <w:rFonts w:cs="Segoe UI"/>
        </w:rPr>
        <w:fldChar w:fldCharType="separate"/>
      </w:r>
      <w:r>
        <w:rPr>
          <w:rFonts w:cs="Segoe UI"/>
          <w:noProof/>
        </w:rPr>
        <w:t>(Te Whatu Ora 2023n)</w:t>
      </w:r>
      <w:r w:rsidRPr="0007414B">
        <w:rPr>
          <w:rFonts w:cs="Segoe UI"/>
        </w:rPr>
        <w:fldChar w:fldCharType="end"/>
      </w:r>
      <w:r w:rsidRPr="0007414B">
        <w:rPr>
          <w:rFonts w:cs="Segoe UI"/>
        </w:rPr>
        <w:t>. Rates were also higher in older age groups (</w:t>
      </w:r>
      <w:r w:rsidRPr="0007414B">
        <w:rPr>
          <w:rFonts w:cs="Segoe UI"/>
        </w:rPr>
        <w:fldChar w:fldCharType="begin"/>
      </w:r>
      <w:r w:rsidRPr="0007414B">
        <w:rPr>
          <w:rFonts w:cs="Segoe UI"/>
        </w:rPr>
        <w:instrText xml:space="preserve"> REF _Ref132101321 \h  \* MERGEFORMAT </w:instrText>
      </w:r>
      <w:r w:rsidRPr="0007414B">
        <w:rPr>
          <w:rFonts w:cs="Segoe UI"/>
        </w:rPr>
      </w:r>
      <w:r w:rsidRPr="0007414B">
        <w:rPr>
          <w:rFonts w:cs="Segoe UI"/>
        </w:rPr>
        <w:fldChar w:fldCharType="separate"/>
      </w:r>
      <w:r w:rsidR="00BE208D" w:rsidRPr="00BE208D">
        <w:rPr>
          <w:rFonts w:cs="Segoe UI"/>
        </w:rPr>
        <w:t>Figure 15</w:t>
      </w:r>
      <w:r w:rsidRPr="0007414B">
        <w:rPr>
          <w:rFonts w:cs="Segoe UI"/>
        </w:rPr>
        <w:fldChar w:fldCharType="end"/>
      </w:r>
      <w:r w:rsidRPr="0007414B">
        <w:rPr>
          <w:rFonts w:cs="Segoe UI"/>
        </w:rPr>
        <w:t>). For example, around 50% of people over 75 years of age had diabetes in the Pacific and Indian populations. The distribution of diabetes varies considerably within the Asian ethnic group;</w:t>
      </w:r>
      <w:r w:rsidRPr="0007414B" w:rsidDel="00E33315">
        <w:rPr>
          <w:rFonts w:cs="Segoe UI"/>
        </w:rPr>
        <w:t xml:space="preserve"> </w:t>
      </w:r>
      <w:r w:rsidRPr="0007414B">
        <w:rPr>
          <w:rFonts w:cs="Segoe UI"/>
        </w:rPr>
        <w:t xml:space="preserve">prevalence is highest in the Indian population. For this reason, we present data in </w:t>
      </w:r>
      <w:r w:rsidRPr="0007414B">
        <w:rPr>
          <w:rFonts w:cs="Segoe UI"/>
        </w:rPr>
        <w:fldChar w:fldCharType="begin"/>
      </w:r>
      <w:r w:rsidRPr="0007414B">
        <w:rPr>
          <w:rFonts w:cs="Segoe UI"/>
        </w:rPr>
        <w:instrText xml:space="preserve"> REF _Ref132101321 \h  \* MERGEFORMAT </w:instrText>
      </w:r>
      <w:r w:rsidRPr="0007414B">
        <w:rPr>
          <w:rFonts w:cs="Segoe UI"/>
        </w:rPr>
      </w:r>
      <w:r w:rsidRPr="0007414B">
        <w:rPr>
          <w:rFonts w:cs="Segoe UI"/>
        </w:rPr>
        <w:fldChar w:fldCharType="separate"/>
      </w:r>
      <w:r w:rsidR="00BE208D" w:rsidRPr="00BE208D">
        <w:rPr>
          <w:rFonts w:cs="Segoe UI"/>
        </w:rPr>
        <w:t>Figure 15</w:t>
      </w:r>
      <w:r w:rsidRPr="0007414B">
        <w:rPr>
          <w:rFonts w:cs="Segoe UI"/>
        </w:rPr>
        <w:fldChar w:fldCharType="end"/>
      </w:r>
      <w:r w:rsidRPr="0007414B">
        <w:rPr>
          <w:rFonts w:cs="Segoe UI"/>
        </w:rPr>
        <w:t xml:space="preserve"> separately for the Indian subgroup and combine data for the rest of the Asian ethnic group with the European/other group.</w:t>
      </w:r>
    </w:p>
    <w:p w14:paraId="14299A52" w14:textId="77777777" w:rsidR="0041567E" w:rsidRPr="0007414B" w:rsidRDefault="0041567E" w:rsidP="0041567E"/>
    <w:p w14:paraId="1B11F184" w14:textId="27C852CF" w:rsidR="0041567E" w:rsidRPr="0007414B" w:rsidRDefault="0041567E" w:rsidP="0041567E">
      <w:pPr>
        <w:pStyle w:val="Figure"/>
      </w:pPr>
      <w:bookmarkStart w:id="74" w:name="_Ref132101321"/>
      <w:bookmarkStart w:id="75" w:name="_Toc138326957"/>
      <w:bookmarkStart w:id="76" w:name="_Toc138409938"/>
      <w:r>
        <w:t xml:space="preserve">Figure </w:t>
      </w:r>
      <w:fldSimple w:instr=" SEQ Figure \* ARABIC ">
        <w:r w:rsidR="00BE208D">
          <w:rPr>
            <w:noProof/>
          </w:rPr>
          <w:t>15</w:t>
        </w:r>
      </w:fldSimple>
      <w:bookmarkEnd w:id="74"/>
      <w:r>
        <w:t>. Age-specific rate of diabetes per 100,000 people, by ethnic group and age group, 2021</w:t>
      </w:r>
      <w:bookmarkEnd w:id="75"/>
      <w:bookmarkEnd w:id="76"/>
    </w:p>
    <w:p w14:paraId="1A6B117F" w14:textId="77777777" w:rsidR="0041567E" w:rsidRPr="0007414B" w:rsidRDefault="0041567E" w:rsidP="0041567E">
      <w:pPr>
        <w:shd w:val="clear" w:color="auto" w:fill="FFFFFF" w:themeFill="background1"/>
      </w:pPr>
      <w:r>
        <w:rPr>
          <w:noProof/>
        </w:rPr>
        <w:drawing>
          <wp:inline distT="0" distB="0" distL="0" distR="0" wp14:anchorId="774C30A3" wp14:editId="68AC8DDD">
            <wp:extent cx="4970585" cy="2484353"/>
            <wp:effectExtent l="0" t="0" r="1905" b="0"/>
            <wp:docPr id="1559892803" name="Picture 1559892803" descr="A series of 4 bar charts showing the age-specific rate of diabetes by ethnic group, in 2021. The age-specific rates are  presented in 5 year age bands. For all ethnic groups, the proportion of people with diabetes increases with age but decreases slightly for adults beyond about 75–79 years of age. Compared to the European/other ethnic group, Indian, Pacific peoples, and Māori have higher rates of people with diabetes, and higher rates of people with diabetes at younger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92803" name="Picture 1559892803" descr="A series of 4 bar charts showing the age-specific rate of diabetes by ethnic group, in 2021. The age-specific rates are  presented in 5 year age bands. For all ethnic groups, the proportion of people with diabetes increases with age but decreases slightly for adults beyond about 75–79 years of age. Compared to the European/other ethnic group, Indian, Pacific peoples, and Māori have higher rates of people with diabetes, and higher rates of people with diabetes at younger ages."/>
                    <pic:cNvPicPr/>
                  </pic:nvPicPr>
                  <pic:blipFill>
                    <a:blip r:embed="rId60"/>
                    <a:stretch>
                      <a:fillRect/>
                    </a:stretch>
                  </pic:blipFill>
                  <pic:spPr>
                    <a:xfrm>
                      <a:off x="0" y="0"/>
                      <a:ext cx="4989918" cy="2494016"/>
                    </a:xfrm>
                    <a:prstGeom prst="rect">
                      <a:avLst/>
                    </a:prstGeom>
                  </pic:spPr>
                </pic:pic>
              </a:graphicData>
            </a:graphic>
          </wp:inline>
        </w:drawing>
      </w:r>
    </w:p>
    <w:p w14:paraId="188B05FD" w14:textId="77777777" w:rsidR="0041567E" w:rsidRPr="0041567E" w:rsidRDefault="0041567E" w:rsidP="0041567E">
      <w:pPr>
        <w:pStyle w:val="Note"/>
      </w:pPr>
      <w:r w:rsidRPr="0041567E">
        <w:rPr>
          <w:rStyle w:val="Hyperlink"/>
          <w:b w:val="0"/>
          <w:color w:val="auto"/>
        </w:rPr>
        <w:t>Note: The Indian subgroup is presented separately to the Asian ethnic group, which is combined with the European/other ethnic group.</w:t>
      </w:r>
    </w:p>
    <w:p w14:paraId="28716E03" w14:textId="77777777" w:rsidR="0041567E" w:rsidRPr="0041567E" w:rsidRDefault="0041567E" w:rsidP="0041567E">
      <w:pPr>
        <w:pStyle w:val="Source"/>
        <w:rPr>
          <w:rStyle w:val="Hyperlink"/>
          <w:b w:val="0"/>
          <w:color w:val="auto"/>
        </w:rPr>
      </w:pPr>
      <w:r w:rsidRPr="0041567E">
        <w:t xml:space="preserve">Source: </w:t>
      </w:r>
      <w:hyperlink r:id="rId61">
        <w:r w:rsidRPr="0041567E">
          <w:rPr>
            <w:rStyle w:val="Hyperlink"/>
          </w:rPr>
          <w:t>Te Whatu Ora (2023n)</w:t>
        </w:r>
      </w:hyperlink>
    </w:p>
    <w:p w14:paraId="78E03E26" w14:textId="77777777" w:rsidR="0041567E" w:rsidRPr="0007414B" w:rsidRDefault="0041567E" w:rsidP="0041567E">
      <w:pPr>
        <w:pStyle w:val="Heading3"/>
      </w:pPr>
      <w:r w:rsidRPr="0007414B">
        <w:lastRenderedPageBreak/>
        <w:t>Oral health</w:t>
      </w:r>
    </w:p>
    <w:p w14:paraId="4DBD2A85" w14:textId="77777777" w:rsidR="0041567E" w:rsidRPr="0007414B" w:rsidRDefault="0041567E" w:rsidP="0041567E">
      <w:pPr>
        <w:pStyle w:val="Heading4"/>
      </w:pPr>
      <w:r w:rsidRPr="0007414B">
        <w:t>Adults</w:t>
      </w:r>
    </w:p>
    <w:p w14:paraId="6D150DC0" w14:textId="77777777" w:rsidR="0041567E" w:rsidRPr="0007414B" w:rsidRDefault="0041567E" w:rsidP="0041567E">
      <w:pPr>
        <w:rPr>
          <w:rFonts w:cs="Segoe UI"/>
        </w:rPr>
      </w:pPr>
      <w:r w:rsidRPr="0007414B">
        <w:rPr>
          <w:rFonts w:cs="Segoe UI"/>
        </w:rPr>
        <w:t>In the Health Survey, 79.1% of adults self-rated their oral health as excellent, very good or good (which we describe together here as ‘good oral health’) in</w:t>
      </w:r>
      <w:r w:rsidRPr="0007414B">
        <w:rPr>
          <w:rFonts w:eastAsia="Calibri Light" w:cs="Segoe UI"/>
        </w:rPr>
        <w:t xml:space="preserve"> the </w:t>
      </w:r>
      <w:r w:rsidRPr="0007414B">
        <w:rPr>
          <w:rFonts w:cs="Segoe UI"/>
        </w:rPr>
        <w:t xml:space="preserve">3-year pooled period ending </w:t>
      </w:r>
      <w:r w:rsidRPr="0007414B">
        <w:rPr>
          <w:rFonts w:eastAsia="Calibri Light" w:cs="Segoe UI"/>
        </w:rPr>
        <w:t>2021/22</w:t>
      </w:r>
      <w:r w:rsidRPr="0007414B" w:rsidDel="005808C8">
        <w:rPr>
          <w:rFonts w:cs="Segoe UI"/>
        </w:rPr>
        <w:t xml:space="preserve"> </w:t>
      </w:r>
      <w:r w:rsidRPr="0007414B">
        <w:rPr>
          <w:rFonts w:cs="Segoe UI"/>
        </w:rPr>
        <w:fldChar w:fldCharType="begin"/>
      </w:r>
      <w:r w:rsidRPr="0007414B">
        <w:rPr>
          <w:rFonts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cs="Segoe UI"/>
        </w:rPr>
        <w:fldChar w:fldCharType="separate"/>
      </w:r>
      <w:r w:rsidRPr="0007414B">
        <w:rPr>
          <w:rFonts w:cs="Segoe UI"/>
        </w:rPr>
        <w:t>(Manatū Hauora 2023a)</w:t>
      </w:r>
      <w:r w:rsidRPr="0007414B">
        <w:rPr>
          <w:rFonts w:cs="Segoe UI"/>
        </w:rPr>
        <w:fldChar w:fldCharType="end"/>
      </w:r>
      <w:r w:rsidRPr="0007414B">
        <w:rPr>
          <w:rFonts w:cs="Segoe UI"/>
        </w:rPr>
        <w:t>. The percentage differed by ethnic group: 67.2% of Māori adults reported having good oral health, compared with 76.1% of Pacific adults, 84.6% of Asian adults and 79.7% of European/other adults.</w:t>
      </w:r>
      <w:r>
        <w:rPr>
          <w:rFonts w:cs="Segoe UI"/>
        </w:rPr>
        <w:t xml:space="preserve"> </w:t>
      </w:r>
      <w:r w:rsidRPr="0007414B">
        <w:rPr>
          <w:rFonts w:cs="Segoe UI"/>
        </w:rPr>
        <w:t>In addition, 66.0% of disabled adults rated their oral health as good, well below the 80.4% of non-disabled adults who did so. Adults living in the least deprived areas were more likely to rate their oral health as good (85.4%), compared with 71.4% of adults living in the most deprived areas. Adults living in rural areas were also less likely to rate their oral health as good, compared with those living in urban areas.</w:t>
      </w:r>
    </w:p>
    <w:p w14:paraId="0CE4E92F" w14:textId="77777777" w:rsidR="0041567E" w:rsidRPr="0007414B" w:rsidRDefault="0041567E" w:rsidP="0041567E">
      <w:pPr>
        <w:pStyle w:val="Heading4"/>
      </w:pPr>
      <w:r w:rsidRPr="0007414B">
        <w:t>Children</w:t>
      </w:r>
    </w:p>
    <w:p w14:paraId="44D277DB" w14:textId="77777777" w:rsidR="0041567E" w:rsidRPr="0007414B" w:rsidRDefault="0041567E" w:rsidP="0041567E">
      <w:pPr>
        <w:rPr>
          <w:rFonts w:cs="Segoe UI"/>
        </w:rPr>
      </w:pPr>
      <w:r w:rsidRPr="0007414B">
        <w:rPr>
          <w:rFonts w:cs="Segoe UI"/>
        </w:rPr>
        <w:t>Dental caries, also known as tooth decay, is a mainly preventable disease, but remains a common disease of childhood in Aotearoa New Zealand. In 2022, dental conditions were the fourth most common reason for ambulatory sensitive hospital admissions for children aged 0–4 years</w:t>
      </w:r>
      <w:r w:rsidRPr="0007414B" w:rsidDel="004B5D68">
        <w:rPr>
          <w:rFonts w:cs="Segoe UI"/>
        </w:rPr>
        <w:t xml:space="preserve"> </w:t>
      </w:r>
      <w:r w:rsidRPr="0007414B">
        <w:rPr>
          <w:rFonts w:cs="Segoe UI"/>
        </w:rPr>
        <w:fldChar w:fldCharType="begin"/>
      </w:r>
      <w:r w:rsidRPr="0007414B">
        <w:rPr>
          <w:rFonts w:cs="Segoe UI"/>
        </w:rPr>
        <w:instrText xml:space="preserve"> ADDIN EN.CITE &lt;EndNote&gt;&lt;Cite&gt;&lt;Author&gt;Nationwide Service Framework Library&lt;/Author&gt;&lt;Year&gt;2023&lt;/Year&gt;&lt;RecNum&gt;89&lt;/RecNum&gt;&lt;DisplayText&gt;(Nationwide Service Framework Library 2023)&lt;/DisplayText&gt;&lt;record&gt;&lt;rec-number&gt;89&lt;/rec-number&gt;&lt;foreign-keys&gt;&lt;key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admissions&lt;/title&gt;&lt;/titles&gt;&lt;number&gt;28 April 2023&lt;/number&gt;&lt;dates&gt;&lt;year&gt;2023&lt;/year&gt;&lt;/dates&gt;&lt;urls&gt;&lt;related-urls&gt;&lt;url&gt;https://nsfl.health.govt.nz/accountability/performance-and-monitoring/data-quarterly-reports-and-reporting/ambulatory-sensitive&lt;/url&gt;&lt;/related-urls&gt;&lt;/urls&gt;&lt;/record&gt;&lt;/Cite&gt;&lt;/EndNote&gt;</w:instrText>
      </w:r>
      <w:r w:rsidRPr="0007414B">
        <w:rPr>
          <w:rFonts w:cs="Segoe UI"/>
        </w:rPr>
        <w:fldChar w:fldCharType="separate"/>
      </w:r>
      <w:r w:rsidRPr="0007414B">
        <w:rPr>
          <w:rFonts w:cs="Segoe UI"/>
        </w:rPr>
        <w:t>(Nationwide Service Framework Library 2023)</w:t>
      </w:r>
      <w:r w:rsidRPr="0007414B">
        <w:rPr>
          <w:rFonts w:cs="Segoe UI"/>
        </w:rPr>
        <w:fldChar w:fldCharType="end"/>
      </w:r>
      <w:r w:rsidRPr="0007414B">
        <w:rPr>
          <w:rFonts w:cs="Segoe UI"/>
        </w:rPr>
        <w:t>.​</w:t>
      </w:r>
    </w:p>
    <w:p w14:paraId="594CE6D9" w14:textId="77777777" w:rsidR="0041567E" w:rsidRPr="0007414B" w:rsidRDefault="0041567E" w:rsidP="0041567E">
      <w:pPr>
        <w:rPr>
          <w:rFonts w:cs="Segoe UI"/>
        </w:rPr>
      </w:pPr>
    </w:p>
    <w:p w14:paraId="7640E7F3" w14:textId="1060EE70" w:rsidR="0041567E" w:rsidRPr="0007414B" w:rsidRDefault="0041567E" w:rsidP="0041567E">
      <w:pPr>
        <w:rPr>
          <w:rFonts w:cs="Segoe UI"/>
        </w:rPr>
      </w:pPr>
      <w:r w:rsidRPr="0007414B">
        <w:rPr>
          <w:rFonts w:cs="Segoe UI"/>
        </w:rPr>
        <w:fldChar w:fldCharType="begin"/>
      </w:r>
      <w:r w:rsidRPr="0007414B">
        <w:rPr>
          <w:rFonts w:cs="Segoe UI"/>
        </w:rPr>
        <w:instrText xml:space="preserve"> REF _Ref131590672 \h  \* MERGEFORMAT </w:instrText>
      </w:r>
      <w:r w:rsidRPr="0007414B">
        <w:rPr>
          <w:rFonts w:cs="Segoe UI"/>
        </w:rPr>
      </w:r>
      <w:r w:rsidRPr="0007414B">
        <w:rPr>
          <w:rFonts w:cs="Segoe UI"/>
        </w:rPr>
        <w:fldChar w:fldCharType="separate"/>
      </w:r>
      <w:r w:rsidR="00BE208D" w:rsidRPr="00BE208D">
        <w:rPr>
          <w:rFonts w:cs="Segoe UI"/>
        </w:rPr>
        <w:t>Figure 16</w:t>
      </w:r>
      <w:r w:rsidRPr="0007414B">
        <w:rPr>
          <w:rFonts w:cs="Segoe UI"/>
        </w:rPr>
        <w:fldChar w:fldCharType="end"/>
      </w:r>
      <w:r w:rsidRPr="0007414B">
        <w:rPr>
          <w:rFonts w:cs="Segoe UI"/>
        </w:rPr>
        <w:t xml:space="preserve"> shows the percentage of children who were caries-free (free of dental decay) at 5 years of age from 2010 to 2021. It is clear that inequity in oral health outcomes continues. In 2021, 41.1% of Māori children and 33.1% of Pacific children were caries-free at this milestone age, compared with 67.6% of European/other children </w:t>
      </w:r>
      <w:r w:rsidRPr="0007414B">
        <w:rPr>
          <w:rFonts w:cs="Segoe UI"/>
        </w:rPr>
        <w:fldChar w:fldCharType="begin"/>
      </w:r>
      <w:r>
        <w:rPr>
          <w:rFonts w:cs="Segoe UI"/>
        </w:rPr>
        <w:instrText xml:space="preserve"> ADDIN EN.CITE &lt;EndNote&gt;&lt;Cite&gt;&lt;Author&gt;Manatū Hauora&lt;/Author&gt;&lt;Year&gt;2022&lt;/Year&gt;&lt;RecNum&gt;44&lt;/RecNum&gt;&lt;DisplayText&gt;(Manatū Hauora 2022a)&lt;/DisplayText&gt;&lt;record&gt;&lt;rec-number&gt;44&lt;/rec-number&gt;&lt;foreign-keys&gt;&lt;key app="EN" db-id="aaepvppzs5wtfse95vsp2wahsrtvva2vvdet" timestamp="1632343639"&gt;44&lt;/key&gt;&lt;/foreign-keys&gt;&lt;ref-type name="Web Page"&gt;12&lt;/ref-type&gt;&lt;contributors&gt;&lt;authors&gt;&lt;author&gt;&lt;style face="normal" font="default" size="100%"&gt;Manat&lt;/style&gt;&lt;style face="normal" font="default" charset="238" size="100%"&gt;ū Hauora,&lt;/style&gt;&lt;/author&gt;&lt;/authors&gt;&lt;/contributors&gt;&lt;titles&gt;&lt;title&gt;Age 5 and year 8 oral health data from the Community Oral Health Service&lt;/title&gt;&lt;/titles&gt;&lt;number&gt;28 April 2023&lt;/number&gt;&lt;dates&gt;&lt;year&gt;2022&lt;/year&gt;&lt;/dates&gt;&lt;urls&gt;&lt;related-urls&gt;&lt;url&gt;www.health.govt.nz/nz-health-statistics/health-statistics-and-data-sets/oral-health-data-and-stats/age-5-and-year-8-oral-health-data-community-oral-health-service&lt;/url&gt;&lt;/related-urls&gt;&lt;/urls&gt;&lt;/record&gt;&lt;/Cite&gt;&lt;/EndNote&gt;</w:instrText>
      </w:r>
      <w:r w:rsidRPr="0007414B">
        <w:rPr>
          <w:rFonts w:cs="Segoe UI"/>
        </w:rPr>
        <w:fldChar w:fldCharType="separate"/>
      </w:r>
      <w:r w:rsidRPr="0007414B">
        <w:rPr>
          <w:rFonts w:cs="Segoe UI"/>
          <w:noProof/>
        </w:rPr>
        <w:t>(Manatū Hauora 2022a)</w:t>
      </w:r>
      <w:r w:rsidRPr="0007414B">
        <w:rPr>
          <w:rFonts w:cs="Segoe UI"/>
        </w:rPr>
        <w:fldChar w:fldCharType="end"/>
      </w:r>
      <w:r w:rsidRPr="0007414B">
        <w:rPr>
          <w:rFonts w:cs="Segoe UI"/>
        </w:rPr>
        <w:t>.</w:t>
      </w:r>
    </w:p>
    <w:p w14:paraId="330F3C4E" w14:textId="77777777" w:rsidR="0041567E" w:rsidRPr="0007414B" w:rsidRDefault="0041567E" w:rsidP="0041567E">
      <w:pPr>
        <w:rPr>
          <w:rFonts w:cs="Segoe UI"/>
        </w:rPr>
      </w:pPr>
    </w:p>
    <w:p w14:paraId="6A894CE2" w14:textId="1E687A4B" w:rsidR="0041567E" w:rsidRPr="0007414B" w:rsidRDefault="0041567E" w:rsidP="0041567E">
      <w:pPr>
        <w:pStyle w:val="Figure"/>
      </w:pPr>
      <w:bookmarkStart w:id="77" w:name="_Ref131590672"/>
      <w:bookmarkStart w:id="78" w:name="_Toc138326958"/>
      <w:bookmarkStart w:id="79" w:name="_Toc138409939"/>
      <w:r>
        <w:t xml:space="preserve">Figure </w:t>
      </w:r>
      <w:fldSimple w:instr=" SEQ Figure \* ARABIC ">
        <w:r w:rsidR="00BE208D">
          <w:rPr>
            <w:noProof/>
          </w:rPr>
          <w:t>16</w:t>
        </w:r>
      </w:fldSimple>
      <w:bookmarkEnd w:id="77"/>
      <w:r>
        <w:t>: Percentage of children caries-free at age 5 years, by ethnic group, 2010–2021</w:t>
      </w:r>
      <w:bookmarkEnd w:id="78"/>
      <w:bookmarkEnd w:id="79"/>
    </w:p>
    <w:p w14:paraId="30575E0F" w14:textId="77777777" w:rsidR="0041567E" w:rsidRPr="0007414B" w:rsidRDefault="0041567E" w:rsidP="0041567E">
      <w:pPr>
        <w:rPr>
          <w:rFonts w:eastAsia="DengXian Light" w:cs="Segoe UI"/>
        </w:rPr>
      </w:pPr>
      <w:r w:rsidRPr="0007414B">
        <w:rPr>
          <w:noProof/>
        </w:rPr>
        <w:drawing>
          <wp:inline distT="0" distB="0" distL="0" distR="0" wp14:anchorId="3CF7A825" wp14:editId="5CE0A825">
            <wp:extent cx="5087006" cy="2543503"/>
            <wp:effectExtent l="0" t="0" r="0" b="9525"/>
            <wp:docPr id="1823296332" name="Picture 1823296332" descr="This time series line chart shows the percentage of children caries-free at age five by ethnic group, between 2010 and 2021. Throughout the series, European/other has the highest caries-free percentage, followed by Māori and then Pacific peoples. In 2021, 67.6% of European/other children, 41.1% of Māori children, and 33.1% of Pacific children were caries free at age f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2" name="Picture 1823296332" descr="This time series line chart shows the percentage of children caries-free at age five by ethnic group, between 2010 and 2021. Throughout the series, European/other has the highest caries-free percentage, followed by Māori and then Pacific peoples. In 2021, 67.6% of European/other children, 41.1% of Māori children, and 33.1% of Pacific children were caries free at age five.&#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01440" cy="2550720"/>
                    </a:xfrm>
                    <a:prstGeom prst="rect">
                      <a:avLst/>
                    </a:prstGeom>
                  </pic:spPr>
                </pic:pic>
              </a:graphicData>
            </a:graphic>
          </wp:inline>
        </w:drawing>
      </w:r>
    </w:p>
    <w:p w14:paraId="22C024C4" w14:textId="77777777" w:rsidR="0041567E" w:rsidRPr="0041567E" w:rsidRDefault="0041567E" w:rsidP="0041567E">
      <w:pPr>
        <w:pStyle w:val="Source"/>
        <w:rPr>
          <w:rFonts w:eastAsia="DengXian Light"/>
        </w:rPr>
      </w:pPr>
      <w:r w:rsidRPr="0041567E">
        <w:rPr>
          <w:rFonts w:eastAsia="DengXian Light"/>
        </w:rPr>
        <w:t xml:space="preserve">Source: </w:t>
      </w:r>
      <w:hyperlink r:id="rId63" w:history="1">
        <w:r w:rsidRPr="0041567E">
          <w:rPr>
            <w:rStyle w:val="Hyperlink"/>
            <w:rFonts w:eastAsia="DengXian Light"/>
          </w:rPr>
          <w:t>Manatū Hauora (2022a)</w:t>
        </w:r>
      </w:hyperlink>
    </w:p>
    <w:p w14:paraId="404F3956" w14:textId="77777777" w:rsidR="0041567E" w:rsidRPr="0007414B" w:rsidRDefault="0041567E" w:rsidP="0041567E">
      <w:pPr>
        <w:rPr>
          <w:rFonts w:cs="Segoe UI"/>
          <w:color w:val="000000" w:themeColor="text1"/>
        </w:rPr>
      </w:pPr>
    </w:p>
    <w:p w14:paraId="3A5772AE" w14:textId="77777777" w:rsidR="0041567E" w:rsidRPr="0007414B" w:rsidRDefault="0041567E" w:rsidP="0041567E">
      <w:pPr>
        <w:spacing w:after="160" w:line="259" w:lineRule="auto"/>
        <w:rPr>
          <w:rFonts w:cs="Segoe UI"/>
          <w:color w:val="000000" w:themeColor="text1"/>
        </w:rPr>
      </w:pPr>
      <w:r w:rsidRPr="0007414B">
        <w:rPr>
          <w:rFonts w:cs="Segoe UI"/>
          <w:color w:val="000000" w:themeColor="text1"/>
        </w:rPr>
        <w:br w:type="page"/>
      </w:r>
    </w:p>
    <w:p w14:paraId="47D76044" w14:textId="77777777" w:rsidR="0041567E" w:rsidRPr="0007414B" w:rsidRDefault="0041567E" w:rsidP="0041567E">
      <w:pPr>
        <w:rPr>
          <w:rFonts w:cs="Segoe UI"/>
          <w:color w:val="000000" w:themeColor="text1"/>
        </w:rPr>
      </w:pPr>
      <w:r w:rsidRPr="0007414B">
        <w:rPr>
          <w:rFonts w:cs="Segoe UI"/>
          <w:color w:val="000000" w:themeColor="text1"/>
        </w:rPr>
        <w:lastRenderedPageBreak/>
        <w:t xml:space="preserve">The second milestone measure for oral health in Aotearoa New Zealand is the number of decayed, missing due to caries, and filled teeth (DMFT) in permanent teeth. The mean number of decayed, missing and filled teeth at year 8 in 2021 was 0.7 DMFT </w:t>
      </w:r>
      <w:r w:rsidRPr="0007414B">
        <w:rPr>
          <w:rFonts w:cs="Segoe UI"/>
          <w:color w:val="000000" w:themeColor="text1"/>
        </w:rPr>
        <w:fldChar w:fldCharType="begin"/>
      </w:r>
      <w:r>
        <w:rPr>
          <w:rFonts w:cs="Segoe UI"/>
          <w:color w:val="000000" w:themeColor="text1"/>
        </w:rPr>
        <w:instrText xml:space="preserve"> ADDIN EN.CITE &lt;EndNote&gt;&lt;Cite&gt;&lt;Author&gt;Manatū Hauora&lt;/Author&gt;&lt;Year&gt;2022&lt;/Year&gt;&lt;RecNum&gt;44&lt;/RecNum&gt;&lt;DisplayText&gt;(Manatū Hauora 2022a)&lt;/DisplayText&gt;&lt;record&gt;&lt;rec-number&gt;44&lt;/rec-number&gt;&lt;foreign-keys&gt;&lt;key app="EN" db-id="aaepvppzs5wtfse95vsp2wahsrtvva2vvdet" timestamp="1632343639"&gt;44&lt;/key&gt;&lt;/foreign-keys&gt;&lt;ref-type name="Web Page"&gt;12&lt;/ref-type&gt;&lt;contributors&gt;&lt;authors&gt;&lt;author&gt;&lt;style face="normal" font="default" size="100%"&gt;Manat&lt;/style&gt;&lt;style face="normal" font="default" charset="238" size="100%"&gt;ū Hauora,&lt;/style&gt;&lt;/author&gt;&lt;/authors&gt;&lt;/contributors&gt;&lt;titles&gt;&lt;title&gt;Age 5 and year 8 oral health data from the Community Oral Health Service&lt;/title&gt;&lt;/titles&gt;&lt;number&gt;28 April 2023&lt;/number&gt;&lt;dates&gt;&lt;year&gt;2022&lt;/year&gt;&lt;/dates&gt;&lt;urls&gt;&lt;related-urls&gt;&lt;url&gt;www.health.govt.nz/nz-health-statistics/health-statistics-and-data-sets/oral-health-data-and-stats/age-5-and-year-8-oral-health-data-community-oral-health-service&lt;/url&gt;&lt;/related-urls&gt;&lt;/urls&gt;&lt;/record&gt;&lt;/Cite&gt;&lt;/EndNote&gt;</w:instrText>
      </w:r>
      <w:r w:rsidRPr="0007414B">
        <w:rPr>
          <w:rFonts w:cs="Segoe UI"/>
          <w:color w:val="000000" w:themeColor="text1"/>
        </w:rPr>
        <w:fldChar w:fldCharType="separate"/>
      </w:r>
      <w:r w:rsidRPr="0007414B">
        <w:rPr>
          <w:rFonts w:cs="Segoe UI"/>
          <w:noProof/>
          <w:color w:val="000000" w:themeColor="text1"/>
        </w:rPr>
        <w:t>(Manatū Hauora 2022a)</w:t>
      </w:r>
      <w:r w:rsidRPr="0007414B">
        <w:rPr>
          <w:rFonts w:cs="Segoe UI"/>
          <w:color w:val="000000" w:themeColor="text1"/>
        </w:rPr>
        <w:fldChar w:fldCharType="end"/>
      </w:r>
      <w:r w:rsidRPr="0007414B">
        <w:rPr>
          <w:rFonts w:cs="Segoe UI"/>
          <w:color w:val="000000" w:themeColor="text1"/>
        </w:rPr>
        <w:t xml:space="preserve">. By ethnic group, the mean DMFT was 1.07 for Māori, 0.83 for Pacific peoples and 0.55 for European/other.  </w:t>
      </w:r>
    </w:p>
    <w:p w14:paraId="2C94EF7D" w14:textId="77777777" w:rsidR="0041567E" w:rsidRPr="0007414B" w:rsidRDefault="0041567E" w:rsidP="0041567E">
      <w:pPr>
        <w:rPr>
          <w:rFonts w:cs="Segoe UI"/>
          <w:color w:val="000000" w:themeColor="text1"/>
        </w:rPr>
      </w:pPr>
    </w:p>
    <w:p w14:paraId="68B45FA1" w14:textId="29081329" w:rsidR="0041567E" w:rsidRPr="0007414B" w:rsidRDefault="0041567E" w:rsidP="0041567E">
      <w:pPr>
        <w:rPr>
          <w:rFonts w:cs="Segoe UI"/>
        </w:rPr>
      </w:pPr>
      <w:r w:rsidRPr="0007414B">
        <w:rPr>
          <w:rFonts w:cs="Segoe UI"/>
        </w:rPr>
        <w:fldChar w:fldCharType="begin"/>
      </w:r>
      <w:r w:rsidRPr="0007414B">
        <w:rPr>
          <w:rFonts w:cs="Segoe UI"/>
        </w:rPr>
        <w:instrText xml:space="preserve"> REF _Ref131687880 \h  \* MERGEFORMAT </w:instrText>
      </w:r>
      <w:r w:rsidRPr="0007414B">
        <w:rPr>
          <w:rFonts w:cs="Segoe UI"/>
        </w:rPr>
      </w:r>
      <w:r w:rsidRPr="0007414B">
        <w:rPr>
          <w:rFonts w:cs="Segoe UI"/>
        </w:rPr>
        <w:fldChar w:fldCharType="separate"/>
      </w:r>
      <w:r w:rsidR="00BE208D" w:rsidRPr="00BE208D">
        <w:rPr>
          <w:rFonts w:cs="Segoe UI"/>
        </w:rPr>
        <w:t>Figure 17</w:t>
      </w:r>
      <w:r w:rsidRPr="0007414B">
        <w:rPr>
          <w:rFonts w:cs="Segoe UI"/>
        </w:rPr>
        <w:fldChar w:fldCharType="end"/>
      </w:r>
      <w:r w:rsidRPr="0007414B">
        <w:rPr>
          <w:rFonts w:cs="Segoe UI"/>
        </w:rPr>
        <w:t xml:space="preserve"> shows that, between 2010 and 2018, oral health for children at year 8 improve</w:t>
      </w:r>
      <w:r>
        <w:rPr>
          <w:rFonts w:cs="Segoe UI"/>
        </w:rPr>
        <w:t>d</w:t>
      </w:r>
      <w:r w:rsidRPr="0007414B">
        <w:rPr>
          <w:rFonts w:cs="Segoe UI"/>
        </w:rPr>
        <w:t>, with fewer decayed, missing and filled teeth for all ethnic groups. However, improvements plateaued at that time for all but Pacific children, and inequities in DMFT remain.</w:t>
      </w:r>
    </w:p>
    <w:p w14:paraId="6AC59FCB" w14:textId="77777777" w:rsidR="0041567E" w:rsidRPr="0007414B" w:rsidRDefault="0041567E" w:rsidP="0041567E">
      <w:pPr>
        <w:rPr>
          <w:rFonts w:eastAsiaTheme="majorEastAsia" w:cs="Segoe UI"/>
        </w:rPr>
      </w:pPr>
    </w:p>
    <w:p w14:paraId="3A9015B3" w14:textId="166E9401" w:rsidR="0041567E" w:rsidRPr="0007414B" w:rsidRDefault="0041567E" w:rsidP="0041567E">
      <w:pPr>
        <w:pStyle w:val="Figure"/>
      </w:pPr>
      <w:bookmarkStart w:id="80" w:name="_Ref131687880"/>
      <w:bookmarkStart w:id="81" w:name="_Toc138326959"/>
      <w:bookmarkStart w:id="82" w:name="_Toc138409940"/>
      <w:r w:rsidRPr="0007414B">
        <w:t xml:space="preserve">Figure </w:t>
      </w:r>
      <w:r>
        <w:fldChar w:fldCharType="begin"/>
      </w:r>
      <w:r>
        <w:instrText>SEQ Figure \* ARABIC</w:instrText>
      </w:r>
      <w:r>
        <w:fldChar w:fldCharType="separate"/>
      </w:r>
      <w:r w:rsidR="00BE208D">
        <w:rPr>
          <w:noProof/>
        </w:rPr>
        <w:t>17</w:t>
      </w:r>
      <w:r>
        <w:fldChar w:fldCharType="end"/>
      </w:r>
      <w:bookmarkEnd w:id="80"/>
      <w:r w:rsidRPr="0007414B">
        <w:t>: Mean number of decayed, missing and filled teeth (DMFT) per child at year 8, by ethnic group, 2010–2021</w:t>
      </w:r>
      <w:bookmarkEnd w:id="81"/>
      <w:bookmarkEnd w:id="82"/>
    </w:p>
    <w:p w14:paraId="449D3DAF" w14:textId="77777777" w:rsidR="0041567E" w:rsidRPr="0007414B" w:rsidRDefault="0041567E" w:rsidP="0041567E">
      <w:pPr>
        <w:rPr>
          <w:rFonts w:eastAsiaTheme="majorEastAsia" w:cs="Segoe UI"/>
        </w:rPr>
      </w:pPr>
      <w:r w:rsidRPr="0007414B">
        <w:rPr>
          <w:noProof/>
        </w:rPr>
        <w:drawing>
          <wp:inline distT="0" distB="0" distL="0" distR="0" wp14:anchorId="35BB7D4F" wp14:editId="3AEF41D6">
            <wp:extent cx="5108028" cy="2554014"/>
            <wp:effectExtent l="0" t="0" r="0" b="0"/>
            <wp:docPr id="1823296333" name="Picture 1823296333" descr="A time series line chart showing the mean number of decayed missing or filled permanent teeth (DMFT) for children in school year eight by ethnic group between 2010 and 2021. Throughout the timeseries, the European/other ethnic group had the lowest DMFT, followed by either Māori or Pacific peoples. DMFT declined for each ethnic group between 2010–2021. The total DMFT (all ethnic groups) was 1.23 in 2010, falling to 0.7 b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3" name="Picture 1823296333" descr="A time series line chart showing the mean number of decayed missing or filled permanent teeth (DMFT) for children in school year eight by ethnic group between 2010 and 2021. Throughout the timeseries, the European/other ethnic group had the lowest DMFT, followed by either Māori or Pacific peoples. DMFT declined for each ethnic group between 2010–2021. The total DMFT (all ethnic groups) was 1.23 in 2010, falling to 0.7 by 2021.&#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16971" cy="2558486"/>
                    </a:xfrm>
                    <a:prstGeom prst="rect">
                      <a:avLst/>
                    </a:prstGeom>
                  </pic:spPr>
                </pic:pic>
              </a:graphicData>
            </a:graphic>
          </wp:inline>
        </w:drawing>
      </w:r>
    </w:p>
    <w:p w14:paraId="5F542B41" w14:textId="77777777" w:rsidR="0041567E" w:rsidRPr="0041567E" w:rsidRDefault="0041567E" w:rsidP="0041567E">
      <w:pPr>
        <w:pStyle w:val="Source"/>
        <w:rPr>
          <w:rFonts w:eastAsia="DengXian Light"/>
        </w:rPr>
      </w:pPr>
      <w:r w:rsidRPr="0041567E">
        <w:rPr>
          <w:rFonts w:eastAsia="DengXian Light"/>
        </w:rPr>
        <w:t xml:space="preserve">Source: </w:t>
      </w:r>
      <w:hyperlink r:id="rId65" w:history="1">
        <w:r w:rsidRPr="0041567E">
          <w:rPr>
            <w:rStyle w:val="Hyperlink"/>
            <w:rFonts w:eastAsia="DengXian Light"/>
          </w:rPr>
          <w:t>Manatū Hauora (2022a)</w:t>
        </w:r>
      </w:hyperlink>
    </w:p>
    <w:p w14:paraId="5FAB8523" w14:textId="77777777" w:rsidR="0041567E" w:rsidRPr="0007414B" w:rsidRDefault="0041567E" w:rsidP="0041567E">
      <w:pPr>
        <w:pStyle w:val="Heading4"/>
      </w:pPr>
      <w:r w:rsidRPr="0007414B">
        <w:t>Visited a dental health care worker in the past 12 months</w:t>
      </w:r>
    </w:p>
    <w:p w14:paraId="521F7B3C" w14:textId="07BD8A4F" w:rsidR="0041567E" w:rsidRDefault="0041567E" w:rsidP="0041567E">
      <w:pPr>
        <w:rPr>
          <w:rFonts w:cs="Segoe UI"/>
        </w:rPr>
      </w:pPr>
      <w:r w:rsidRPr="0007414B">
        <w:rPr>
          <w:rFonts w:cs="Segoe UI"/>
        </w:rPr>
        <w:t>In the Health Survey, data from t</w:t>
      </w:r>
      <w:r w:rsidRPr="0007414B">
        <w:rPr>
          <w:rFonts w:eastAsia="Calibri Light" w:cs="Segoe UI"/>
        </w:rPr>
        <w:t xml:space="preserve">he </w:t>
      </w:r>
      <w:r w:rsidRPr="0007414B">
        <w:rPr>
          <w:rFonts w:cs="Segoe UI"/>
        </w:rPr>
        <w:t xml:space="preserve">3-year pooled period ending </w:t>
      </w:r>
      <w:r w:rsidRPr="0007414B">
        <w:rPr>
          <w:rFonts w:eastAsia="Calibri Light" w:cs="Segoe UI"/>
        </w:rPr>
        <w:t>2021/22</w:t>
      </w:r>
      <w:r w:rsidRPr="0007414B">
        <w:rPr>
          <w:rFonts w:cs="Segoe UI"/>
        </w:rPr>
        <w:t xml:space="preserve"> shows that 72.7% of children (up to 14 years of age) had seen a dental health care worker in the last</w:t>
      </w:r>
      <w:r w:rsidRPr="0007414B" w:rsidDel="001429BD">
        <w:rPr>
          <w:rFonts w:cs="Segoe UI"/>
        </w:rPr>
        <w:t xml:space="preserve"> </w:t>
      </w:r>
      <w:r w:rsidRPr="0007414B">
        <w:rPr>
          <w:rFonts w:cs="Segoe UI"/>
        </w:rPr>
        <w:t xml:space="preserve">12 months, down from a high of 83.7% in the 3-year pooled period ending 2015/16. In the preschool group (0–4 years of age), the pooled 3-year data shows only 49.2% had seen a dental health care worker in the last 12 months, down from a high of 64.2% in the 3-year pooled period ending 2017/18 </w:t>
      </w:r>
      <w:r w:rsidRPr="0007414B">
        <w:rPr>
          <w:rFonts w:cs="Segoe UI"/>
        </w:rPr>
        <w:fldChar w:fldCharType="begin"/>
      </w:r>
      <w:r w:rsidRPr="0007414B">
        <w:rPr>
          <w:rFonts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cs="Segoe UI"/>
        </w:rPr>
        <w:fldChar w:fldCharType="separate"/>
      </w:r>
      <w:r w:rsidRPr="0007414B">
        <w:rPr>
          <w:rFonts w:cs="Segoe UI"/>
        </w:rPr>
        <w:t>(Manatū Hauora 2023a)</w:t>
      </w:r>
      <w:r w:rsidRPr="0007414B">
        <w:rPr>
          <w:rFonts w:cs="Segoe UI"/>
        </w:rPr>
        <w:fldChar w:fldCharType="end"/>
      </w:r>
      <w:r w:rsidRPr="0007414B">
        <w:rPr>
          <w:rFonts w:cs="Segoe UI"/>
        </w:rPr>
        <w:t xml:space="preserve">. </w:t>
      </w:r>
    </w:p>
    <w:p w14:paraId="0D6FAAD4" w14:textId="0FF94E5A" w:rsidR="0041567E" w:rsidRDefault="0041567E" w:rsidP="0041567E">
      <w:pPr>
        <w:rPr>
          <w:rFonts w:cs="Segoe UI"/>
        </w:rPr>
      </w:pPr>
    </w:p>
    <w:p w14:paraId="2DA52B3A" w14:textId="3EE155C6" w:rsidR="0041567E" w:rsidRPr="0007414B" w:rsidRDefault="0041567E" w:rsidP="0041567E">
      <w:pPr>
        <w:rPr>
          <w:rFonts w:cs="Segoe UI"/>
        </w:rPr>
      </w:pPr>
      <w:r w:rsidRPr="0007414B">
        <w:rPr>
          <w:rFonts w:cs="Segoe UI"/>
        </w:rPr>
        <w:fldChar w:fldCharType="begin"/>
      </w:r>
      <w:r w:rsidRPr="0007414B">
        <w:rPr>
          <w:rFonts w:cs="Segoe UI"/>
        </w:rPr>
        <w:instrText xml:space="preserve"> REF _Ref130972428 \h  \* MERGEFORMAT </w:instrText>
      </w:r>
      <w:r w:rsidRPr="0007414B">
        <w:rPr>
          <w:rFonts w:cs="Segoe UI"/>
        </w:rPr>
      </w:r>
      <w:r w:rsidRPr="0007414B">
        <w:rPr>
          <w:rFonts w:cs="Segoe UI"/>
        </w:rPr>
        <w:fldChar w:fldCharType="separate"/>
      </w:r>
      <w:r w:rsidR="00BE208D" w:rsidRPr="00BE208D">
        <w:rPr>
          <w:rFonts w:cs="Segoe UI"/>
        </w:rPr>
        <w:t>Figure</w:t>
      </w:r>
      <w:r w:rsidR="00BE208D">
        <w:t xml:space="preserve"> </w:t>
      </w:r>
      <w:r w:rsidR="00BE208D">
        <w:rPr>
          <w:noProof/>
        </w:rPr>
        <w:t>18</w:t>
      </w:r>
      <w:r w:rsidRPr="0007414B">
        <w:rPr>
          <w:rFonts w:cs="Segoe UI"/>
        </w:rPr>
        <w:fldChar w:fldCharType="end"/>
      </w:r>
      <w:r w:rsidRPr="0007414B" w:rsidDel="004247C8">
        <w:rPr>
          <w:rFonts w:cs="Segoe UI"/>
        </w:rPr>
        <w:t xml:space="preserve"> </w:t>
      </w:r>
      <w:r w:rsidRPr="0007414B">
        <w:rPr>
          <w:rFonts w:cs="Segoe UI"/>
        </w:rPr>
        <w:t>summarises these findings, presenting</w:t>
      </w:r>
      <w:r w:rsidRPr="0007414B">
        <w:rPr>
          <w:rFonts w:cs="Segoe UI"/>
          <w:lang w:eastAsia="en-NZ"/>
        </w:rPr>
        <w:t xml:space="preserve"> the percentage </w:t>
      </w:r>
      <w:r w:rsidRPr="0007414B">
        <w:rPr>
          <w:rFonts w:cs="Segoe UI"/>
        </w:rPr>
        <w:t xml:space="preserve">of children who visited a dental health care worker in the last 12 months by age group in a 3-year rolling average. </w:t>
      </w:r>
    </w:p>
    <w:p w14:paraId="347828B6" w14:textId="77777777" w:rsidR="0041567E" w:rsidRPr="0007414B" w:rsidRDefault="0041567E" w:rsidP="0041567E">
      <w:pPr>
        <w:rPr>
          <w:rFonts w:cs="Segoe UI"/>
        </w:rPr>
      </w:pPr>
    </w:p>
    <w:p w14:paraId="00BEA364" w14:textId="28DA500C" w:rsidR="0041567E" w:rsidRPr="0007414B" w:rsidRDefault="0041567E" w:rsidP="0041567E">
      <w:pPr>
        <w:pStyle w:val="Figure"/>
      </w:pPr>
      <w:bookmarkStart w:id="83" w:name="_Ref130972428"/>
      <w:bookmarkStart w:id="84" w:name="_Toc138326960"/>
      <w:bookmarkStart w:id="85" w:name="_Toc138409941"/>
      <w:r>
        <w:lastRenderedPageBreak/>
        <w:t xml:space="preserve">Figure </w:t>
      </w:r>
      <w:fldSimple w:instr=" SEQ Figure \* ARABIC ">
        <w:r w:rsidR="00BE208D">
          <w:rPr>
            <w:noProof/>
          </w:rPr>
          <w:t>18</w:t>
        </w:r>
      </w:fldSimple>
      <w:bookmarkEnd w:id="83"/>
      <w:r>
        <w:t>: Percentage of children who visited a dental health care worker, 3-year rolling average 2013/14–2021/22</w:t>
      </w:r>
      <w:bookmarkEnd w:id="84"/>
      <w:bookmarkEnd w:id="85"/>
    </w:p>
    <w:p w14:paraId="2C8EDB91" w14:textId="77777777" w:rsidR="0041567E" w:rsidRPr="0007414B" w:rsidRDefault="0041567E" w:rsidP="0041567E">
      <w:pPr>
        <w:rPr>
          <w:rFonts w:cs="Segoe UI"/>
        </w:rPr>
      </w:pPr>
      <w:r w:rsidRPr="0007414B">
        <w:rPr>
          <w:noProof/>
        </w:rPr>
        <w:drawing>
          <wp:inline distT="0" distB="0" distL="0" distR="0" wp14:anchorId="797B8E8A" wp14:editId="413DAC34">
            <wp:extent cx="5139558" cy="2569781"/>
            <wp:effectExtent l="0" t="0" r="4445" b="2540"/>
            <wp:docPr id="1823296334" name="Picture 1823296334" descr="A series of 3 side-by-side line charts showing the percentage of children who visited a dental health care worker between 2011/12 and 2021/22. Each of the charts show a different age group: 0–4, 5–9, and 10–14. Along the x-axis of the charts, the years are presented as a 3-year rolling average. For each of the age groups the percentage of children visiting a dental healthcare worker decreased, particularly in the last 3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4" name="Picture 1823296334" descr="A series of 3 side-by-side line charts showing the percentage of children who visited a dental health care worker between 2011/12 and 2021/22. Each of the charts show a different age group: 0–4, 5–9, and 10–14. Along the x-axis of the charts, the years are presented as a 3-year rolling average. For each of the age groups the percentage of children visiting a dental healthcare worker decreased, particularly in the last 3 years.&#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51681" cy="2575842"/>
                    </a:xfrm>
                    <a:prstGeom prst="rect">
                      <a:avLst/>
                    </a:prstGeom>
                  </pic:spPr>
                </pic:pic>
              </a:graphicData>
            </a:graphic>
          </wp:inline>
        </w:drawing>
      </w:r>
    </w:p>
    <w:p w14:paraId="7F8A11E7" w14:textId="77777777" w:rsidR="0041567E" w:rsidRPr="00973B11" w:rsidRDefault="0041567E" w:rsidP="0041567E">
      <w:pPr>
        <w:pStyle w:val="Note"/>
        <w:rPr>
          <w:rFonts w:eastAsia="Calibri Light" w:cs="Segoe UI"/>
        </w:rPr>
      </w:pPr>
      <w:r w:rsidRPr="00973B11">
        <w:rPr>
          <w:rFonts w:eastAsia="Calibri Light" w:cs="Segoe UI"/>
        </w:rPr>
        <w:t>Note:</w:t>
      </w:r>
      <w:r w:rsidRPr="00973B11">
        <w:t xml:space="preserve"> </w:t>
      </w:r>
      <w:r>
        <w:t>E</w:t>
      </w:r>
      <w:r w:rsidRPr="00973B11">
        <w:t>rror bars represent 95% confidence intervals.</w:t>
      </w:r>
    </w:p>
    <w:p w14:paraId="5014EB78" w14:textId="76042034" w:rsidR="0041567E" w:rsidRPr="0041567E" w:rsidRDefault="0041567E" w:rsidP="0041567E">
      <w:pPr>
        <w:pStyle w:val="Source"/>
        <w:rPr>
          <w:b/>
          <w:u w:val="single"/>
        </w:rPr>
      </w:pPr>
      <w:r w:rsidRPr="0007414B">
        <w:t xml:space="preserve">Source: </w:t>
      </w:r>
      <w:hyperlink r:id="rId67" w:anchor="!/home">
        <w:r w:rsidRPr="0041567E">
          <w:rPr>
            <w:rStyle w:val="Hyperlink"/>
          </w:rPr>
          <w:t>Manatū Hauora (2023a)</w:t>
        </w:r>
      </w:hyperlink>
    </w:p>
    <w:p w14:paraId="4D9A3BA0" w14:textId="77777777" w:rsidR="0041567E" w:rsidRPr="0007414B" w:rsidRDefault="0041567E" w:rsidP="0041567E">
      <w:pPr>
        <w:pStyle w:val="Heading3"/>
      </w:pPr>
      <w:r w:rsidRPr="0007414B">
        <w:t>Mental wellbeing</w:t>
      </w:r>
    </w:p>
    <w:p w14:paraId="30EE4B95" w14:textId="77777777" w:rsidR="0041567E" w:rsidRPr="0007414B" w:rsidRDefault="0041567E" w:rsidP="0041567E">
      <w:pPr>
        <w:rPr>
          <w:rFonts w:cs="Segoe UI"/>
        </w:rPr>
      </w:pPr>
      <w:r w:rsidRPr="0007414B">
        <w:rPr>
          <w:rFonts w:cs="Segoe UI"/>
        </w:rPr>
        <w:t xml:space="preserve">Manatū Hauora published </w:t>
      </w:r>
      <w:r w:rsidRPr="0007414B">
        <w:rPr>
          <w:rFonts w:cs="Segoe UI"/>
          <w:i/>
        </w:rPr>
        <w:t>Kia Manawanui Aotearoa: Long-term pathway to mental wellbeing</w:t>
      </w:r>
      <w:r w:rsidRPr="0007414B">
        <w:rPr>
          <w:rFonts w:cs="Segoe UI"/>
        </w:rPr>
        <w:t xml:space="preserve"> (Kia Manawanui) in 2021 </w:t>
      </w:r>
      <w:r w:rsidRPr="0007414B">
        <w:rPr>
          <w:rFonts w:cs="Segoe UI"/>
        </w:rPr>
        <w:fldChar w:fldCharType="begin"/>
      </w:r>
      <w:r>
        <w:rPr>
          <w:rFonts w:cs="Segoe UI"/>
        </w:rPr>
        <w:instrText xml:space="preserve"> ADDIN EN.CITE &lt;EndNote&gt;&lt;Cite&gt;&lt;Author&gt;Manatū Hauora&lt;/Author&gt;&lt;Year&gt;2021&lt;/Year&gt;&lt;RecNum&gt;219&lt;/RecNum&gt;&lt;DisplayText&gt;(Manatū Hauora 2021a)&lt;/DisplayText&gt;&lt;record&gt;&lt;rec-number&gt;219&lt;/rec-number&gt;&lt;foreign-keys&gt;&lt;key app="EN" db-id="aaepvppzs5wtfse95vsp2wahsrtvva2vvdet" timestamp="1663804183"&gt;219&lt;/key&gt;&lt;/foreign-keys&gt;&lt;ref-type name="Web Page"&gt;12&lt;/ref-type&gt;&lt;contributors&gt;&lt;authors&gt;&lt;author&gt;&lt;style face="normal" font="default" size="100%"&gt;Manat&lt;/style&gt;&lt;style face="normal" font="default" charset="238" size="100%"&gt;ū Hauora,&lt;/style&gt;&lt;/author&gt;&lt;/authors&gt;&lt;/contributors&gt;&lt;titles&gt;&lt;title&gt;Kia Manawanui Aotearoa: Long-term pathway to mental wellbeing&lt;/title&gt;&lt;/titles&gt;&lt;number&gt;5 May 2023&lt;/number&gt;&lt;dates&gt;&lt;year&gt;2021&lt;/year&gt;&lt;/dates&gt;&lt;urls&gt;&lt;related-urls&gt;&lt;url&gt;www.health.govt.nz/publication/kia-manawanui-aotearoa-long-term-pathway-mental-wellbeing&lt;/url&gt;&lt;/related-urls&gt;&lt;/urls&gt;&lt;/record&gt;&lt;/Cite&gt;&lt;/EndNote&gt;</w:instrText>
      </w:r>
      <w:r w:rsidRPr="0007414B">
        <w:rPr>
          <w:rFonts w:cs="Segoe UI"/>
        </w:rPr>
        <w:fldChar w:fldCharType="separate"/>
      </w:r>
      <w:r w:rsidRPr="0007414B">
        <w:rPr>
          <w:rFonts w:cs="Segoe UI"/>
          <w:noProof/>
        </w:rPr>
        <w:t>(Manatū Hauora 2021a)</w:t>
      </w:r>
      <w:r w:rsidRPr="0007414B">
        <w:rPr>
          <w:rFonts w:cs="Segoe UI"/>
        </w:rPr>
        <w:fldChar w:fldCharType="end"/>
      </w:r>
      <w:r w:rsidRPr="0007414B">
        <w:rPr>
          <w:rFonts w:cs="Segoe UI"/>
        </w:rPr>
        <w:t>. Kia Manawanui is the Government’s policy statement on mental wellbeing. In this document:</w:t>
      </w:r>
    </w:p>
    <w:p w14:paraId="19D4698A" w14:textId="77777777" w:rsidR="0041567E" w:rsidRDefault="0041567E" w:rsidP="0041567E">
      <w:pPr>
        <w:pStyle w:val="NormalIndent"/>
      </w:pPr>
    </w:p>
    <w:p w14:paraId="40D66088" w14:textId="17545883" w:rsidR="0041567E" w:rsidRPr="0007414B" w:rsidRDefault="0041567E" w:rsidP="0041567E">
      <w:pPr>
        <w:pStyle w:val="NormalIndent"/>
      </w:pPr>
      <w:r w:rsidRPr="0007414B">
        <w:t>‘Mental wellbeing’ is defined as one component of broader wellbeing. Positive mental wellbeing is most likely when people feel safe, connected, valued, worthy and accepted and have a sense of belonging, identity, and hope for the future. Mental wellbeing means being able to adapt and cope with life and life’s challenges and feeling that your life has meaning, as well as experiencing feelings of contentment or general happiness. (p 10)</w:t>
      </w:r>
    </w:p>
    <w:p w14:paraId="300289BE" w14:textId="77777777" w:rsidR="0041567E" w:rsidRPr="0007414B" w:rsidRDefault="0041567E" w:rsidP="0041567E">
      <w:pPr>
        <w:pStyle w:val="Heading4"/>
      </w:pPr>
      <w:r w:rsidRPr="0007414B">
        <w:t>Access and Choice</w:t>
      </w:r>
    </w:p>
    <w:p w14:paraId="6C6B1ADB" w14:textId="77777777" w:rsidR="0041567E" w:rsidRPr="0007414B" w:rsidRDefault="0041567E" w:rsidP="0041567E">
      <w:pPr>
        <w:rPr>
          <w:rFonts w:cs="Segoe UI"/>
          <w:lang w:eastAsia="en-NZ"/>
        </w:rPr>
      </w:pPr>
      <w:r w:rsidRPr="0007414B">
        <w:rPr>
          <w:rFonts w:cs="Segoe UI"/>
        </w:rPr>
        <w:t xml:space="preserve">The priorities of Kia Manawanui include expanding access and choice of mental health and addiction supports, providing recovery-based care, prioritising kaupapa Māori and whānau-centred approaches, and addressing equity </w:t>
      </w:r>
      <w:r w:rsidRPr="0007414B">
        <w:rPr>
          <w:rFonts w:cs="Segoe UI"/>
        </w:rPr>
        <w:fldChar w:fldCharType="begin"/>
      </w:r>
      <w:r>
        <w:rPr>
          <w:rFonts w:cs="Segoe UI"/>
        </w:rPr>
        <w:instrText xml:space="preserve"> ADDIN EN.CITE &lt;EndNote&gt;&lt;Cite&gt;&lt;Author&gt;Manatū Hauora&lt;/Author&gt;&lt;Year&gt;2021&lt;/Year&gt;&lt;RecNum&gt;219&lt;/RecNum&gt;&lt;DisplayText&gt;(Manatū Hauora 2021a)&lt;/DisplayText&gt;&lt;record&gt;&lt;rec-number&gt;219&lt;/rec-number&gt;&lt;foreign-keys&gt;&lt;key app="EN" db-id="aaepvppzs5wtfse95vsp2wahsrtvva2vvdet" timestamp="1663804183"&gt;219&lt;/key&gt;&lt;/foreign-keys&gt;&lt;ref-type name="Web Page"&gt;12&lt;/ref-type&gt;&lt;contributors&gt;&lt;authors&gt;&lt;author&gt;&lt;style face="normal" font="default" size="100%"&gt;Manat&lt;/style&gt;&lt;style face="normal" font="default" charset="238" size="100%"&gt;ū Hauora,&lt;/style&gt;&lt;/author&gt;&lt;/authors&gt;&lt;/contributors&gt;&lt;titles&gt;&lt;title&gt;Kia Manawanui Aotearoa: Long-term pathway to mental wellbeing&lt;/title&gt;&lt;/titles&gt;&lt;number&gt;5 May 2023&lt;/number&gt;&lt;dates&gt;&lt;year&gt;2021&lt;/year&gt;&lt;/dates&gt;&lt;urls&gt;&lt;related-urls&gt;&lt;url&gt;www.health.govt.nz/publication/kia-manawanui-aotearoa-long-term-pathway-mental-wellbeing&lt;/url&gt;&lt;/related-urls&gt;&lt;/urls&gt;&lt;/record&gt;&lt;/Cite&gt;&lt;/EndNote&gt;</w:instrText>
      </w:r>
      <w:r w:rsidRPr="0007414B">
        <w:rPr>
          <w:rFonts w:cs="Segoe UI"/>
        </w:rPr>
        <w:fldChar w:fldCharType="separate"/>
      </w:r>
      <w:r w:rsidRPr="0007414B">
        <w:rPr>
          <w:rFonts w:cs="Segoe UI"/>
          <w:noProof/>
        </w:rPr>
        <w:t>(Manatū Hauora 2021a)</w:t>
      </w:r>
      <w:r w:rsidRPr="0007414B">
        <w:rPr>
          <w:rFonts w:cs="Segoe UI"/>
        </w:rPr>
        <w:fldChar w:fldCharType="end"/>
      </w:r>
      <w:r w:rsidRPr="0007414B">
        <w:rPr>
          <w:rFonts w:cs="Segoe UI"/>
        </w:rPr>
        <w:t xml:space="preserve">. </w:t>
      </w:r>
      <w:r w:rsidRPr="0007414B">
        <w:rPr>
          <w:rFonts w:cs="Segoe UI"/>
          <w:lang w:eastAsia="en-NZ"/>
        </w:rPr>
        <w:t xml:space="preserve">The Access and Choice programme contributes to these priorities by expanding access to, and choice of, primary mental health and addiction services across the country </w:t>
      </w:r>
      <w:r w:rsidRPr="0007414B">
        <w:rPr>
          <w:rFonts w:cs="Segoe UI"/>
          <w:lang w:eastAsia="en-NZ"/>
        </w:rPr>
        <w:fldChar w:fldCharType="begin"/>
      </w:r>
      <w:r>
        <w:rPr>
          <w:rFonts w:cs="Segoe UI"/>
          <w:lang w:eastAsia="en-NZ"/>
        </w:rPr>
        <w:instrText xml:space="preserve"> ADDIN EN.CITE &lt;EndNote&gt;&lt;Cite&gt;&lt;Author&gt;Te Whatu Ora&lt;/Author&gt;&lt;Year&gt;2023&lt;/Year&gt;&lt;RecNum&gt;300&lt;/RecNum&gt;&lt;DisplayText&gt;(Te Whatu Ora 2023a)&lt;/DisplayText&gt;&lt;record&gt;&lt;rec-number&gt;300&lt;/rec-number&gt;&lt;foreign-keys&gt;&lt;key app="EN" db-id="aaepvppzs5wtfse95vsp2wahsrtvva2vvdet" timestamp="1683253509"&gt;300&lt;/key&gt;&lt;/foreign-keys&gt;&lt;ref-type name="Web Page"&gt;12&lt;/ref-type&gt;&lt;contributors&gt;&lt;authors&gt;&lt;author&gt;Te Whatu Ora,&lt;/author&gt;&lt;/authors&gt;&lt;/contributors&gt;&lt;titles&gt;&lt;title&gt;About Access and Choice&lt;/title&gt;&lt;/titles&gt;&lt;number&gt;5 May 2023&lt;/number&gt;&lt;dates&gt;&lt;year&gt;2023&lt;/year&gt;&lt;/dates&gt;&lt;urls&gt;&lt;related-urls&gt;&lt;url&gt;www.wellbeingsupport.health.nz/about-access-and-choice/&lt;/url&gt;&lt;/related-urls&gt;&lt;/urls&gt;&lt;/record&gt;&lt;/Cite&gt;&lt;/EndNote&gt;</w:instrText>
      </w:r>
      <w:r w:rsidRPr="0007414B">
        <w:rPr>
          <w:rFonts w:cs="Segoe UI"/>
          <w:lang w:eastAsia="en-NZ"/>
        </w:rPr>
        <w:fldChar w:fldCharType="separate"/>
      </w:r>
      <w:r w:rsidRPr="0007414B">
        <w:rPr>
          <w:rFonts w:cs="Segoe UI"/>
          <w:noProof/>
          <w:lang w:eastAsia="en-NZ"/>
        </w:rPr>
        <w:t>(Te Whatu Ora 2023a)</w:t>
      </w:r>
      <w:r w:rsidRPr="0007414B">
        <w:rPr>
          <w:rFonts w:cs="Segoe UI"/>
          <w:lang w:eastAsia="en-NZ"/>
        </w:rPr>
        <w:fldChar w:fldCharType="end"/>
      </w:r>
      <w:r w:rsidRPr="0007414B">
        <w:rPr>
          <w:rFonts w:cs="Segoe UI"/>
          <w:lang w:eastAsia="en-NZ"/>
        </w:rPr>
        <w:t xml:space="preserve">. </w:t>
      </w:r>
    </w:p>
    <w:p w14:paraId="63F245C8" w14:textId="77777777" w:rsidR="0041567E" w:rsidRPr="0007414B" w:rsidRDefault="0041567E" w:rsidP="0041567E">
      <w:pPr>
        <w:rPr>
          <w:rFonts w:cs="Segoe UI"/>
          <w:lang w:eastAsia="en-NZ"/>
        </w:rPr>
      </w:pPr>
    </w:p>
    <w:p w14:paraId="606BFE2B" w14:textId="77777777" w:rsidR="0041567E" w:rsidRPr="0007414B" w:rsidRDefault="0041567E" w:rsidP="0041567E">
      <w:pPr>
        <w:rPr>
          <w:lang w:eastAsia="en-NZ"/>
        </w:rPr>
      </w:pPr>
      <w:r w:rsidRPr="0007414B">
        <w:rPr>
          <w:lang w:eastAsia="en-NZ"/>
        </w:rPr>
        <w:t>Access and Choice is a 5-year programme that began in 2019 and</w:t>
      </w:r>
      <w:r w:rsidRPr="0007414B" w:rsidDel="008C6739">
        <w:rPr>
          <w:lang w:eastAsia="en-NZ"/>
        </w:rPr>
        <w:t xml:space="preserve"> </w:t>
      </w:r>
      <w:r w:rsidRPr="0007414B">
        <w:rPr>
          <w:lang w:eastAsia="en-NZ"/>
        </w:rPr>
        <w:t>rolled out services</w:t>
      </w:r>
      <w:r w:rsidRPr="0007414B" w:rsidDel="008C6739">
        <w:rPr>
          <w:lang w:eastAsia="en-NZ"/>
        </w:rPr>
        <w:t xml:space="preserve"> </w:t>
      </w:r>
      <w:r w:rsidRPr="0007414B">
        <w:rPr>
          <w:lang w:eastAsia="en-NZ"/>
        </w:rPr>
        <w:t xml:space="preserve">from </w:t>
      </w:r>
      <w:r w:rsidRPr="0007414B">
        <w:t>February 2020. It delivers services</w:t>
      </w:r>
      <w:r w:rsidRPr="0007414B" w:rsidDel="00CF2092">
        <w:t xml:space="preserve"> </w:t>
      </w:r>
      <w:r w:rsidRPr="0007414B">
        <w:t>across 4 workstreams</w:t>
      </w:r>
      <w:r w:rsidRPr="0007414B">
        <w:rPr>
          <w:lang w:eastAsia="en-NZ"/>
        </w:rPr>
        <w:t>:</w:t>
      </w:r>
    </w:p>
    <w:p w14:paraId="2A02A2C5" w14:textId="77777777" w:rsidR="0041567E" w:rsidRPr="0007414B" w:rsidRDefault="0041567E" w:rsidP="0041567E">
      <w:pPr>
        <w:pStyle w:val="Bullet"/>
        <w:rPr>
          <w:lang w:eastAsia="en-NZ"/>
        </w:rPr>
      </w:pPr>
      <w:r w:rsidRPr="0007414B">
        <w:rPr>
          <w:rStyle w:val="normaltextrun"/>
          <w:rFonts w:cs="Segoe UI"/>
        </w:rPr>
        <w:t>integrated primary mental health and addiction (IPMHA) services delivered through general practice teams</w:t>
      </w:r>
      <w:r w:rsidRPr="0007414B">
        <w:rPr>
          <w:rStyle w:val="eop"/>
          <w:rFonts w:cs="Segoe UI"/>
        </w:rPr>
        <w:t> </w:t>
      </w:r>
    </w:p>
    <w:p w14:paraId="422B2FAA" w14:textId="77777777" w:rsidR="0041567E" w:rsidRPr="0007414B" w:rsidRDefault="0041567E" w:rsidP="0041567E">
      <w:pPr>
        <w:pStyle w:val="Bullet"/>
      </w:pPr>
      <w:r w:rsidRPr="0007414B">
        <w:rPr>
          <w:rStyle w:val="normaltextrun"/>
          <w:rFonts w:cs="Segoe UI"/>
        </w:rPr>
        <w:t>youth-specific primary mental health and addiction services for those aged 12–24 years</w:t>
      </w:r>
    </w:p>
    <w:p w14:paraId="0DD06D45" w14:textId="77777777" w:rsidR="0041567E" w:rsidRPr="0007414B" w:rsidRDefault="0041567E" w:rsidP="0041567E">
      <w:pPr>
        <w:pStyle w:val="Bullet"/>
      </w:pPr>
      <w:r w:rsidRPr="0007414B">
        <w:rPr>
          <w:rStyle w:val="normaltextrun"/>
          <w:rFonts w:cs="Segoe UI"/>
        </w:rPr>
        <w:t>kaupapa Māori primary mental health and addiction services for people of all ages</w:t>
      </w:r>
      <w:r w:rsidRPr="0007414B">
        <w:rPr>
          <w:rStyle w:val="eop"/>
          <w:rFonts w:cs="Segoe UI"/>
        </w:rPr>
        <w:t> </w:t>
      </w:r>
    </w:p>
    <w:p w14:paraId="0FFCA1BF" w14:textId="77777777" w:rsidR="0041567E" w:rsidRPr="0007414B" w:rsidRDefault="0041567E" w:rsidP="0041567E">
      <w:pPr>
        <w:pStyle w:val="Bullet"/>
      </w:pPr>
      <w:r w:rsidRPr="0007414B">
        <w:rPr>
          <w:rStyle w:val="normaltextrun"/>
          <w:rFonts w:cs="Segoe UI"/>
        </w:rPr>
        <w:lastRenderedPageBreak/>
        <w:t>primary mental health and addiction services for Pacific peoples of all ages.</w:t>
      </w:r>
    </w:p>
    <w:p w14:paraId="69D5E045" w14:textId="77777777" w:rsidR="0041567E" w:rsidRPr="0007414B" w:rsidRDefault="0041567E" w:rsidP="0041567E">
      <w:pPr>
        <w:rPr>
          <w:rFonts w:cs="Segoe UI"/>
          <w:b/>
          <w:color w:val="595959" w:themeColor="text1" w:themeTint="A6"/>
          <w:lang w:eastAsia="en-NZ"/>
        </w:rPr>
      </w:pPr>
    </w:p>
    <w:p w14:paraId="4D09A6A2" w14:textId="77777777" w:rsidR="0041567E" w:rsidRPr="0007414B" w:rsidRDefault="0041567E" w:rsidP="0041567E">
      <w:pPr>
        <w:rPr>
          <w:rFonts w:eastAsia="Symbol"/>
        </w:rPr>
      </w:pPr>
      <w:r w:rsidRPr="0007414B">
        <w:rPr>
          <w:rFonts w:eastAsia="Symbol"/>
        </w:rPr>
        <w:t>Between 1 January and 31 December 2022:</w:t>
      </w:r>
    </w:p>
    <w:p w14:paraId="064A8074" w14:textId="77777777" w:rsidR="0041567E" w:rsidRPr="0007414B" w:rsidRDefault="0041567E" w:rsidP="0041567E">
      <w:pPr>
        <w:pStyle w:val="Bullet"/>
        <w:rPr>
          <w:rStyle w:val="normaltextrun"/>
          <w:rFonts w:cs="Segoe UI"/>
        </w:rPr>
      </w:pPr>
      <w:r w:rsidRPr="0007414B">
        <w:rPr>
          <w:rStyle w:val="normaltextrun"/>
          <w:rFonts w:cs="Segoe UI"/>
        </w:rPr>
        <w:t xml:space="preserve">436 general practices </w:t>
      </w:r>
      <w:r w:rsidRPr="0007414B" w:rsidDel="00540A9E">
        <w:rPr>
          <w:rStyle w:val="normaltextrun"/>
          <w:rFonts w:cs="Segoe UI"/>
        </w:rPr>
        <w:t xml:space="preserve">delivered </w:t>
      </w:r>
      <w:r w:rsidRPr="0007414B">
        <w:rPr>
          <w:rStyle w:val="normaltextrun"/>
          <w:rFonts w:cs="Segoe UI"/>
        </w:rPr>
        <w:t>about 302,000 sessions of IPMHA services</w:t>
      </w:r>
    </w:p>
    <w:p w14:paraId="732E8F52" w14:textId="77777777" w:rsidR="0041567E" w:rsidRPr="0007414B" w:rsidRDefault="0041567E" w:rsidP="0041567E">
      <w:pPr>
        <w:pStyle w:val="Bullet"/>
        <w:rPr>
          <w:rStyle w:val="normaltextrun"/>
          <w:rFonts w:cs="Segoe UI"/>
        </w:rPr>
      </w:pPr>
      <w:r w:rsidRPr="0007414B">
        <w:rPr>
          <w:rStyle w:val="normaltextrun"/>
          <w:rFonts w:cs="Segoe UI"/>
        </w:rPr>
        <w:t>22 contracted youth services delivered about 33,700 sessions</w:t>
      </w:r>
    </w:p>
    <w:p w14:paraId="5C3D2AEF" w14:textId="77777777" w:rsidR="0041567E" w:rsidRPr="0007414B" w:rsidRDefault="0041567E" w:rsidP="0041567E">
      <w:pPr>
        <w:pStyle w:val="Bullet"/>
        <w:rPr>
          <w:rStyle w:val="normaltextrun"/>
          <w:rFonts w:cs="Segoe UI"/>
        </w:rPr>
      </w:pPr>
      <w:r w:rsidRPr="0007414B">
        <w:rPr>
          <w:rStyle w:val="normaltextrun"/>
          <w:rFonts w:cs="Segoe UI"/>
        </w:rPr>
        <w:t>29 contracted kaupapa Māori services delivered</w:t>
      </w:r>
      <w:r w:rsidRPr="0007414B" w:rsidDel="00540A9E">
        <w:rPr>
          <w:rStyle w:val="normaltextrun"/>
          <w:rFonts w:cs="Segoe UI"/>
        </w:rPr>
        <w:t xml:space="preserve"> </w:t>
      </w:r>
      <w:r w:rsidRPr="0007414B">
        <w:rPr>
          <w:rStyle w:val="normaltextrun"/>
          <w:rFonts w:cs="Segoe UI"/>
        </w:rPr>
        <w:t>about 44,000 sessions</w:t>
      </w:r>
    </w:p>
    <w:p w14:paraId="31A4ED44" w14:textId="77777777" w:rsidR="0041567E" w:rsidRDefault="0041567E" w:rsidP="0041567E">
      <w:pPr>
        <w:pStyle w:val="Bullet"/>
        <w:rPr>
          <w:rStyle w:val="normaltextrun"/>
          <w:rFonts w:cs="Segoe UI"/>
        </w:rPr>
      </w:pPr>
      <w:r w:rsidRPr="0007414B">
        <w:rPr>
          <w:rStyle w:val="normaltextrun"/>
          <w:rFonts w:cs="Segoe UI"/>
        </w:rPr>
        <w:t xml:space="preserve">9 contracted Pacific services delivered about 19,800 sessions </w:t>
      </w:r>
      <w:r w:rsidRPr="0007414B">
        <w:rPr>
          <w:rStyle w:val="normaltextrun"/>
          <w:rFonts w:cs="Segoe UI"/>
        </w:rPr>
        <w:fldChar w:fldCharType="begin"/>
      </w:r>
      <w:r>
        <w:rPr>
          <w:rStyle w:val="normaltextrun"/>
          <w:rFonts w:cs="Segoe UI"/>
        </w:rPr>
        <w:instrText xml:space="preserve"> ADDIN EN.CITE &lt;EndNote&gt;&lt;Cite&gt;&lt;Author&gt;Te Whatu Ora&lt;/Author&gt;&lt;Year&gt;2023&lt;/Year&gt;&lt;RecNum&gt;300&lt;/RecNum&gt;&lt;DisplayText&gt;(Te Whatu Ora 2023a)&lt;/DisplayText&gt;&lt;record&gt;&lt;rec-number&gt;300&lt;/rec-number&gt;&lt;foreign-keys&gt;&lt;key app="EN" db-id="aaepvppzs5wtfse95vsp2wahsrtvva2vvdet" timestamp="1683253509"&gt;300&lt;/key&gt;&lt;/foreign-keys&gt;&lt;ref-type name="Web Page"&gt;12&lt;/ref-type&gt;&lt;contributors&gt;&lt;authors&gt;&lt;author&gt;Te Whatu Ora,&lt;/author&gt;&lt;/authors&gt;&lt;/contributors&gt;&lt;titles&gt;&lt;title&gt;About Access and Choice&lt;/title&gt;&lt;/titles&gt;&lt;number&gt;5 May 2023&lt;/number&gt;&lt;dates&gt;&lt;year&gt;2023&lt;/year&gt;&lt;/dates&gt;&lt;urls&gt;&lt;related-urls&gt;&lt;url&gt;www.wellbeingsupport.health.nz/about-access-and-choice/&lt;/url&gt;&lt;/related-urls&gt;&lt;/urls&gt;&lt;/record&gt;&lt;/Cite&gt;&lt;/EndNote&gt;</w:instrText>
      </w:r>
      <w:r w:rsidRPr="0007414B">
        <w:rPr>
          <w:rStyle w:val="normaltextrun"/>
          <w:rFonts w:cs="Segoe UI"/>
        </w:rPr>
        <w:fldChar w:fldCharType="separate"/>
      </w:r>
      <w:r w:rsidRPr="0007414B">
        <w:rPr>
          <w:rStyle w:val="normaltextrun"/>
          <w:rFonts w:cs="Segoe UI"/>
          <w:noProof/>
        </w:rPr>
        <w:t>(Te Whatu Ora 2023a)</w:t>
      </w:r>
      <w:r w:rsidRPr="0007414B">
        <w:rPr>
          <w:rStyle w:val="normaltextrun"/>
          <w:rFonts w:cs="Segoe UI"/>
        </w:rPr>
        <w:fldChar w:fldCharType="end"/>
      </w:r>
      <w:r w:rsidRPr="0007414B">
        <w:rPr>
          <w:rStyle w:val="normaltextrun"/>
          <w:rFonts w:cs="Segoe UI"/>
        </w:rPr>
        <w:t>.</w:t>
      </w:r>
    </w:p>
    <w:p w14:paraId="6A152F79" w14:textId="77777777" w:rsidR="0041567E" w:rsidRPr="0007414B" w:rsidRDefault="0041567E" w:rsidP="0041567E">
      <w:pPr>
        <w:pStyle w:val="Heading4"/>
      </w:pPr>
      <w:r w:rsidRPr="0007414B">
        <w:t>Parenting</w:t>
      </w:r>
    </w:p>
    <w:p w14:paraId="49CB2C8B" w14:textId="77777777" w:rsidR="0041567E" w:rsidRPr="0007414B" w:rsidRDefault="0041567E" w:rsidP="0041567E">
      <w:pPr>
        <w:rPr>
          <w:rFonts w:cs="Segoe UI"/>
        </w:rPr>
      </w:pPr>
      <w:r w:rsidRPr="0007414B">
        <w:rPr>
          <w:rFonts w:cs="Segoe UI"/>
        </w:rPr>
        <w:t>Parenting makes an important contribution to children’s physical and mental wellbeing. It follows that support for parents (that is, for adults in a consistent caregiving role)</w:t>
      </w:r>
      <w:r w:rsidRPr="0007414B" w:rsidDel="00540A9E">
        <w:rPr>
          <w:rFonts w:cs="Segoe UI"/>
        </w:rPr>
        <w:t xml:space="preserve"> </w:t>
      </w:r>
      <w:r w:rsidRPr="0007414B">
        <w:rPr>
          <w:rFonts w:cs="Segoe UI"/>
        </w:rPr>
        <w:t xml:space="preserve">makes an important contribution to overall population health </w:t>
      </w:r>
      <w:r w:rsidRPr="0007414B">
        <w:rPr>
          <w:rFonts w:cs="Segoe UI"/>
        </w:rPr>
        <w:fldChar w:fldCharType="begin"/>
      </w:r>
      <w:r w:rsidRPr="0007414B">
        <w:rPr>
          <w:rFonts w:cs="Segoe UI"/>
        </w:rPr>
        <w:instrText xml:space="preserve"> ADDIN EN.CITE &lt;EndNote&gt;&lt;Cite&gt;&lt;Author&gt;Walker&lt;/Author&gt;&lt;Year&gt;2021&lt;/Year&gt;&lt;RecNum&gt;374&lt;/RecNum&gt;&lt;DisplayText&gt;(Walker 2021)&lt;/DisplayText&gt;&lt;record&gt;&lt;rec-number&gt;374&lt;/rec-number&gt;&lt;foreign-keys&gt;&lt;key app="EN" db-id="aaepvppzs5wtfse95vsp2wahsrtvva2vvdet" timestamp="1684374432"&gt;374&lt;/key&gt;&lt;/foreign-keys&gt;&lt;ref-type name="Journal Article"&gt;17&lt;/ref-type&gt;&lt;contributors&gt;&lt;authors&gt;&lt;author&gt;Walker, Deborah Klein&lt;/author&gt;&lt;/authors&gt;&lt;/contributors&gt;&lt;titles&gt;&lt;title&gt;Parenting and social determinants of health&lt;/title&gt;&lt;secondary-title&gt;Archives of Psychiatric Nursing&lt;/secondary-title&gt;&lt;/titles&gt;&lt;periodical&gt;&lt;full-title&gt;Archives of Psychiatric Nursing&lt;/full-title&gt;&lt;/periodical&gt;&lt;pages&gt;134-136&lt;/pages&gt;&lt;volume&gt;35&lt;/volume&gt;&lt;number&gt;1&lt;/number&gt;&lt;dates&gt;&lt;year&gt;2021&lt;/year&gt;&lt;/dates&gt;&lt;urls&gt;&lt;related-urls&gt;&lt;url&gt;https://pubmed.ncbi.nlm.nih.gov/33593509/&lt;/url&gt;&lt;/related-urls&gt;&lt;/urls&gt;&lt;/record&gt;&lt;/Cite&gt;&lt;/EndNote&gt;</w:instrText>
      </w:r>
      <w:r w:rsidRPr="0007414B">
        <w:rPr>
          <w:rFonts w:cs="Segoe UI"/>
        </w:rPr>
        <w:fldChar w:fldCharType="separate"/>
      </w:r>
      <w:r w:rsidRPr="0007414B">
        <w:rPr>
          <w:rFonts w:cs="Segoe UI"/>
        </w:rPr>
        <w:t>(Walker 2021)</w:t>
      </w:r>
      <w:r w:rsidRPr="0007414B">
        <w:rPr>
          <w:rFonts w:cs="Segoe UI"/>
        </w:rPr>
        <w:fldChar w:fldCharType="end"/>
      </w:r>
      <w:r w:rsidRPr="0007414B">
        <w:rPr>
          <w:rFonts w:cs="Segoe UI"/>
        </w:rPr>
        <w:t>.</w:t>
      </w:r>
    </w:p>
    <w:p w14:paraId="1278A671" w14:textId="77777777" w:rsidR="0041567E" w:rsidRPr="0007414B" w:rsidRDefault="0041567E" w:rsidP="0041567E">
      <w:pPr>
        <w:rPr>
          <w:rFonts w:cs="Segoe UI"/>
        </w:rPr>
      </w:pPr>
    </w:p>
    <w:p w14:paraId="3995FDA4" w14:textId="77777777" w:rsidR="0041567E" w:rsidRPr="0007414B" w:rsidRDefault="0041567E" w:rsidP="0041567E">
      <w:pPr>
        <w:rPr>
          <w:rFonts w:eastAsia="Calibri Light" w:cs="Segoe UI"/>
        </w:rPr>
      </w:pPr>
      <w:r w:rsidRPr="0007414B">
        <w:rPr>
          <w:rFonts w:eastAsia="Calibri Light" w:cs="Segoe UI"/>
        </w:rPr>
        <w:t>The 2021/22 Health Survey asked parents</w:t>
      </w:r>
      <w:r w:rsidRPr="0007414B" w:rsidDel="00B17947">
        <w:rPr>
          <w:rFonts w:eastAsia="Calibri Light" w:cs="Segoe UI"/>
        </w:rPr>
        <w:t xml:space="preserve"> </w:t>
      </w:r>
      <w:r w:rsidRPr="0007414B">
        <w:rPr>
          <w:rFonts w:eastAsia="Calibri Light" w:cs="Segoe UI"/>
        </w:rPr>
        <w:t>how well they feel they are coping with the day-to-day demands of raising children. Because the Health Survey has asked this question in only some years since 2012/13, here we present the latest data</w:t>
      </w:r>
      <w:r w:rsidRPr="0007414B" w:rsidDel="00B17947">
        <w:rPr>
          <w:rFonts w:eastAsia="Calibri Light" w:cs="Segoe UI"/>
        </w:rPr>
        <w:t xml:space="preserve"> </w:t>
      </w:r>
      <w:r w:rsidRPr="0007414B">
        <w:rPr>
          <w:rFonts w:eastAsia="Calibri Light" w:cs="Segoe UI"/>
        </w:rPr>
        <w:t xml:space="preserve">as single-year data for the survey year 2021/22. </w:t>
      </w:r>
    </w:p>
    <w:p w14:paraId="4A304615" w14:textId="77777777" w:rsidR="0041567E" w:rsidRPr="0007414B" w:rsidRDefault="0041567E" w:rsidP="0041567E">
      <w:pPr>
        <w:rPr>
          <w:rFonts w:eastAsia="Calibri Light" w:cs="Segoe UI"/>
        </w:rPr>
      </w:pPr>
    </w:p>
    <w:p w14:paraId="38FD74BD" w14:textId="77777777" w:rsidR="0041567E" w:rsidRPr="0007414B" w:rsidRDefault="0041567E" w:rsidP="0041567E">
      <w:pPr>
        <w:rPr>
          <w:rFonts w:cs="Segoe UI"/>
        </w:rPr>
      </w:pPr>
      <w:r w:rsidRPr="0007414B">
        <w:rPr>
          <w:rFonts w:cs="Segoe UI"/>
        </w:rPr>
        <w:t xml:space="preserve">In the 2012/13 Health Survey, 86.5% of caregivers of children (aged 0–14 years) reported coping well or very well with the demands of raising children </w:t>
      </w:r>
      <w:r w:rsidRPr="0007414B">
        <w:rPr>
          <w:rFonts w:cs="Segoe UI"/>
        </w:rPr>
        <w:fldChar w:fldCharType="begin"/>
      </w:r>
      <w:r w:rsidRPr="0007414B">
        <w:rPr>
          <w:rFonts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cs="Segoe UI"/>
        </w:rPr>
        <w:fldChar w:fldCharType="separate"/>
      </w:r>
      <w:r w:rsidRPr="0007414B">
        <w:rPr>
          <w:rFonts w:cs="Segoe UI"/>
        </w:rPr>
        <w:t>(Manatū Hauora 2023a)</w:t>
      </w:r>
      <w:r w:rsidRPr="0007414B">
        <w:rPr>
          <w:rFonts w:cs="Segoe UI"/>
        </w:rPr>
        <w:fldChar w:fldCharType="end"/>
      </w:r>
      <w:r w:rsidRPr="0007414B">
        <w:rPr>
          <w:rFonts w:cs="Segoe UI"/>
        </w:rPr>
        <w:t>. I</w:t>
      </w:r>
      <w:r w:rsidRPr="0007414B">
        <w:rPr>
          <w:rFonts w:eastAsia="Calibri Light" w:cs="Segoe UI"/>
        </w:rPr>
        <w:t>n 2021/22, this had reduced to 75.5%</w:t>
      </w:r>
      <w:r w:rsidRPr="0007414B">
        <w:rPr>
          <w:rFonts w:cs="Segoe UI"/>
        </w:rPr>
        <w:t xml:space="preserve"> of caregivers coping well or very well with the demands of raising children. The percentage of parents making this response was similar across ethnic groups: 77.3% of Māori parents, 75.3% of Pacific parents, 74.3% of Asian parents and 73.7% of European/other parents reported coping well or very well.</w:t>
      </w:r>
    </w:p>
    <w:p w14:paraId="7BD7377C" w14:textId="77777777" w:rsidR="0041567E" w:rsidRPr="0007414B" w:rsidRDefault="0041567E" w:rsidP="0041567E">
      <w:pPr>
        <w:pStyle w:val="Heading4"/>
      </w:pPr>
      <w:r w:rsidRPr="0007414B">
        <w:t>Family wellbeing and life satisfaction</w:t>
      </w:r>
    </w:p>
    <w:p w14:paraId="2695ED2C" w14:textId="0C7679F7" w:rsidR="00034F2D" w:rsidRDefault="0041567E" w:rsidP="00034F2D">
      <w:pPr>
        <w:rPr>
          <w:rFonts w:cs="Segoe UI"/>
        </w:rPr>
      </w:pPr>
      <w:r w:rsidRPr="0007414B">
        <w:rPr>
          <w:rFonts w:cs="Segoe UI"/>
        </w:rPr>
        <w:t xml:space="preserve">The 2021/22 Health Survey included 2 new questions, which covered family wellbeing and life satisfaction </w:t>
      </w:r>
      <w:r w:rsidRPr="0007414B">
        <w:rPr>
          <w:rFonts w:cs="Segoe UI"/>
        </w:rPr>
        <w:fldChar w:fldCharType="begin"/>
      </w:r>
      <w:r>
        <w:rPr>
          <w:rFonts w:cs="Segoe UI"/>
        </w:rPr>
        <w:instrText xml:space="preserve"> ADDIN EN.CITE &lt;EndNote&gt;&lt;Cite&gt;&lt;Author&gt;Manatū Hauora&lt;/Author&gt;&lt;Year&gt;2022&lt;/Year&gt;&lt;RecNum&gt;376&lt;/RecNum&gt;&lt;DisplayText&gt;(Manatū Hauora 2022l)&lt;/DisplayText&gt;&lt;record&gt;&lt;rec-number&gt;376&lt;/rec-number&gt;&lt;foreign-keys&gt;&lt;key app="EN" db-id="aaepvppzs5wtfse95vsp2wahsrtvva2vvdet" timestamp="1684375078"&gt;376&lt;/key&gt;&lt;/foreign-keys&gt;&lt;ref-type name="Web Page"&gt;12&lt;/ref-type&gt;&lt;contributors&gt;&lt;authors&gt;&lt;author&gt;&lt;style face="normal" font="default" size="100%"&gt;Manat&lt;/style&gt;&lt;style face="normal" font="default" charset="238" size="100%"&gt;ū Hauora,&lt;/style&gt;&lt;/author&gt;&lt;/authors&gt;&lt;/contributors&gt;&lt;titles&gt;&lt;title&gt;Questionnaires and Content Guide 2021/22: New Zealand Health Survey&lt;/title&gt;&lt;/titles&gt;&lt;number&gt;18 May 2023&lt;/number&gt;&lt;dates&gt;&lt;year&gt;2022&lt;/year&gt;&lt;/dates&gt;&lt;urls&gt;&lt;related-urls&gt;&lt;url&gt;www.health.govt.nz/publication/questionnaires-and-content-guide-2021-22-new-zealand-health-surve&lt;/url&gt;&lt;/related-urls&gt;&lt;/urls&gt;&lt;/record&gt;&lt;/Cite&gt;&lt;/EndNote&gt;</w:instrText>
      </w:r>
      <w:r w:rsidRPr="0007414B">
        <w:rPr>
          <w:rFonts w:cs="Segoe UI"/>
        </w:rPr>
        <w:fldChar w:fldCharType="separate"/>
      </w:r>
      <w:r w:rsidRPr="0007414B">
        <w:rPr>
          <w:rFonts w:cs="Segoe UI"/>
          <w:noProof/>
        </w:rPr>
        <w:t>(Manatū Hauora 2022l)</w:t>
      </w:r>
      <w:r w:rsidRPr="0007414B">
        <w:rPr>
          <w:rFonts w:cs="Segoe UI"/>
        </w:rPr>
        <w:fldChar w:fldCharType="end"/>
      </w:r>
      <w:r w:rsidRPr="0007414B">
        <w:rPr>
          <w:rFonts w:cs="Segoe UI"/>
        </w:rPr>
        <w:t xml:space="preserve">. These came from the General Social Survey, which produces statistics about social wellbeing in Aotearoa New Zealand </w:t>
      </w:r>
      <w:r w:rsidRPr="0007414B">
        <w:rPr>
          <w:rFonts w:cs="Segoe UI"/>
        </w:rPr>
        <w:fldChar w:fldCharType="begin"/>
      </w:r>
      <w:r w:rsidRPr="0007414B">
        <w:rPr>
          <w:rFonts w:cs="Segoe UI"/>
        </w:rPr>
        <w:instrText xml:space="preserve"> ADDIN EN.CITE &lt;EndNote&gt;&lt;Cite&gt;&lt;Author&gt;Stats NZ&lt;/Author&gt;&lt;Year&gt;2021&lt;/Year&gt;&lt;RecNum&gt;375&lt;/RecNum&gt;&lt;DisplayText&gt;(Stats NZ 2021a)&lt;/DisplayText&gt;&lt;record&gt;&lt;rec-number&gt;375&lt;/rec-number&gt;&lt;foreign-keys&gt;&lt;key app="EN" db-id="aaepvppzs5wtfse95vsp2wahsrtvva2vvdet" timestamp="1684374946"&gt;375&lt;/key&gt;&lt;/foreign-keys&gt;&lt;ref-type name="Web Page"&gt;12&lt;/ref-type&gt;&lt;contributors&gt;&lt;authors&gt;&lt;author&gt;Stats NZ,&lt;/author&gt;&lt;/authors&gt;&lt;/contributors&gt;&lt;titles&gt;&lt;title&gt;General Social Survey (GSS)&lt;/title&gt;&lt;/titles&gt;&lt;number&gt;18 May 2023&lt;/number&gt;&lt;dates&gt;&lt;year&gt;2021&lt;/year&gt;&lt;/dates&gt;&lt;urls&gt;&lt;related-urls&gt;&lt;url&gt;https://datainfoplus.stats.govt.nz/Item/nz.govt.stats/2ed50ad6-8ab8-47df-883d-210a51b50043&lt;/url&gt;&lt;/related-urls&gt;&lt;/urls&gt;&lt;/record&gt;&lt;/Cite&gt;&lt;/EndNote&gt;</w:instrText>
      </w:r>
      <w:r w:rsidRPr="0007414B">
        <w:rPr>
          <w:rFonts w:cs="Segoe UI"/>
        </w:rPr>
        <w:fldChar w:fldCharType="separate"/>
      </w:r>
      <w:r w:rsidRPr="0007414B">
        <w:rPr>
          <w:rFonts w:cs="Segoe UI"/>
        </w:rPr>
        <w:t>(Stats NZ 2021a)</w:t>
      </w:r>
      <w:r w:rsidRPr="0007414B">
        <w:rPr>
          <w:rFonts w:cs="Segoe UI"/>
        </w:rPr>
        <w:fldChar w:fldCharType="end"/>
      </w:r>
      <w:r w:rsidRPr="0007414B">
        <w:rPr>
          <w:rFonts w:cs="Segoe UI"/>
        </w:rPr>
        <w:t>.</w:t>
      </w:r>
      <w:r w:rsidR="00034F2D">
        <w:rPr>
          <w:rFonts w:cs="Segoe UI"/>
        </w:rPr>
        <w:t xml:space="preserve"> </w:t>
      </w:r>
    </w:p>
    <w:p w14:paraId="3831AA1C" w14:textId="77777777" w:rsidR="00034F2D" w:rsidRPr="00034F2D" w:rsidRDefault="00034F2D" w:rsidP="00034F2D">
      <w:pPr>
        <w:rPr>
          <w:rFonts w:cs="Segoe UI"/>
        </w:rPr>
      </w:pPr>
    </w:p>
    <w:p w14:paraId="0A7882C4" w14:textId="60B8850D" w:rsidR="0041567E" w:rsidRPr="0007414B" w:rsidRDefault="00034F2D" w:rsidP="00034F2D">
      <w:pPr>
        <w:rPr>
          <w:rFonts w:cs="Segoe UI"/>
        </w:rPr>
      </w:pPr>
      <w:r w:rsidRPr="00034F2D">
        <w:rPr>
          <w:rFonts w:cs="Segoe UI"/>
        </w:rPr>
        <w:t>Table 4 shows the percentage of adults in the survey year 2021/22 who reported high or very high family wellbeing and high or very high life satisfaction (score of 7 or more out of 10) by population group. In almost every population group, women reported lower family wellbeing and lower life satisfaction than men.</w:t>
      </w:r>
    </w:p>
    <w:p w14:paraId="4C3D5046" w14:textId="77777777" w:rsidR="0041567E" w:rsidRPr="0007414B" w:rsidRDefault="0041567E" w:rsidP="0041567E">
      <w:pPr>
        <w:rPr>
          <w:rFonts w:cs="Segoe UI"/>
          <w:szCs w:val="21"/>
        </w:rPr>
      </w:pPr>
    </w:p>
    <w:p w14:paraId="3C98123E" w14:textId="77777777" w:rsidR="0041567E" w:rsidRPr="0007414B" w:rsidRDefault="0041567E" w:rsidP="00034F2D"/>
    <w:p w14:paraId="06755EA1" w14:textId="77777777" w:rsidR="00034F2D" w:rsidRDefault="00034F2D" w:rsidP="00034F2D">
      <w:pPr>
        <w:sectPr w:rsidR="00034F2D" w:rsidSect="00025EAD">
          <w:pgSz w:w="11907" w:h="16834" w:code="9"/>
          <w:pgMar w:top="1418" w:right="1701" w:bottom="1134" w:left="1843" w:header="284" w:footer="425" w:gutter="284"/>
          <w:cols w:space="720"/>
        </w:sectPr>
      </w:pPr>
      <w:bookmarkStart w:id="86" w:name="_Ref130973357"/>
      <w:bookmarkStart w:id="87" w:name="_Ref130973351"/>
      <w:bookmarkStart w:id="88" w:name="_Toc138326999"/>
      <w:bookmarkStart w:id="89" w:name="_Toc138409980"/>
    </w:p>
    <w:p w14:paraId="3100B4BC" w14:textId="3A02D0B3" w:rsidR="0041567E" w:rsidRDefault="0041567E" w:rsidP="0041567E">
      <w:pPr>
        <w:pStyle w:val="Table"/>
      </w:pPr>
      <w:r w:rsidRPr="0007414B">
        <w:lastRenderedPageBreak/>
        <w:t xml:space="preserve">Table </w:t>
      </w:r>
      <w:r w:rsidRPr="0007414B">
        <w:fldChar w:fldCharType="begin"/>
      </w:r>
      <w:r w:rsidRPr="0007414B">
        <w:instrText>SEQ Table \* ARABIC</w:instrText>
      </w:r>
      <w:r w:rsidRPr="0007414B">
        <w:fldChar w:fldCharType="separate"/>
      </w:r>
      <w:r w:rsidR="00BE208D">
        <w:rPr>
          <w:noProof/>
        </w:rPr>
        <w:t>4</w:t>
      </w:r>
      <w:r w:rsidRPr="0007414B">
        <w:fldChar w:fldCharType="end"/>
      </w:r>
      <w:bookmarkEnd w:id="86"/>
      <w:r w:rsidRPr="0007414B">
        <w:t>: Percentage of high or very high family wellbeing, and high or very high life satisfaction, by population group</w:t>
      </w:r>
      <w:bookmarkEnd w:id="87"/>
      <w:r w:rsidRPr="0007414B">
        <w:t>, 2021/22</w:t>
      </w:r>
      <w:bookmarkEnd w:id="88"/>
      <w:bookmarkEnd w:id="89"/>
    </w:p>
    <w:tbl>
      <w:tblPr>
        <w:tblStyle w:val="TableGrid"/>
        <w:tblW w:w="793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85"/>
        <w:gridCol w:w="1487"/>
        <w:gridCol w:w="1488"/>
        <w:gridCol w:w="1488"/>
        <w:gridCol w:w="1488"/>
      </w:tblGrid>
      <w:tr w:rsidR="00637847" w:rsidRPr="0007414B" w14:paraId="17879E81" w14:textId="77777777" w:rsidTr="004B1165">
        <w:tc>
          <w:tcPr>
            <w:tcW w:w="1985" w:type="dxa"/>
            <w:vMerge w:val="restart"/>
            <w:tcBorders>
              <w:top w:val="nil"/>
            </w:tcBorders>
            <w:shd w:val="clear" w:color="auto" w:fill="D9D9D9" w:themeFill="background1" w:themeFillShade="D9"/>
          </w:tcPr>
          <w:p w14:paraId="40319C15" w14:textId="77777777" w:rsidR="00637847" w:rsidRPr="00637847" w:rsidRDefault="00637847" w:rsidP="00637847">
            <w:pPr>
              <w:pStyle w:val="TableText"/>
              <w:rPr>
                <w:b/>
                <w:bCs/>
              </w:rPr>
            </w:pPr>
            <w:r w:rsidRPr="00637847">
              <w:rPr>
                <w:b/>
                <w:bCs/>
              </w:rPr>
              <w:t>Population group</w:t>
            </w:r>
          </w:p>
        </w:tc>
        <w:tc>
          <w:tcPr>
            <w:tcW w:w="2975" w:type="dxa"/>
            <w:gridSpan w:val="2"/>
            <w:tcBorders>
              <w:top w:val="nil"/>
            </w:tcBorders>
            <w:shd w:val="clear" w:color="auto" w:fill="D9D9D9" w:themeFill="background1" w:themeFillShade="D9"/>
          </w:tcPr>
          <w:p w14:paraId="4A3DB369" w14:textId="77777777" w:rsidR="00637847" w:rsidRPr="00637847" w:rsidRDefault="00637847" w:rsidP="00637847">
            <w:pPr>
              <w:pStyle w:val="TableText"/>
              <w:jc w:val="center"/>
              <w:rPr>
                <w:b/>
                <w:bCs/>
              </w:rPr>
            </w:pPr>
            <w:r w:rsidRPr="00637847">
              <w:rPr>
                <w:b/>
                <w:bCs/>
              </w:rPr>
              <w:t>Family wellbeing</w:t>
            </w:r>
          </w:p>
        </w:tc>
        <w:tc>
          <w:tcPr>
            <w:tcW w:w="2976" w:type="dxa"/>
            <w:gridSpan w:val="2"/>
            <w:tcBorders>
              <w:top w:val="nil"/>
            </w:tcBorders>
            <w:shd w:val="clear" w:color="auto" w:fill="D9D9D9" w:themeFill="background1" w:themeFillShade="D9"/>
          </w:tcPr>
          <w:p w14:paraId="3C189E8F" w14:textId="77777777" w:rsidR="00637847" w:rsidRPr="00637847" w:rsidRDefault="00637847" w:rsidP="00637847">
            <w:pPr>
              <w:pStyle w:val="TableText"/>
              <w:jc w:val="center"/>
              <w:rPr>
                <w:b/>
                <w:bCs/>
              </w:rPr>
            </w:pPr>
            <w:r w:rsidRPr="00637847">
              <w:rPr>
                <w:b/>
                <w:bCs/>
              </w:rPr>
              <w:t>Life satisfaction</w:t>
            </w:r>
          </w:p>
        </w:tc>
      </w:tr>
      <w:tr w:rsidR="00637847" w:rsidRPr="0007414B" w14:paraId="62B00176" w14:textId="77777777" w:rsidTr="004B1165">
        <w:tc>
          <w:tcPr>
            <w:tcW w:w="1985" w:type="dxa"/>
            <w:vMerge/>
            <w:tcBorders>
              <w:bottom w:val="nil"/>
            </w:tcBorders>
            <w:shd w:val="clear" w:color="auto" w:fill="D9D9D9" w:themeFill="background1" w:themeFillShade="D9"/>
          </w:tcPr>
          <w:p w14:paraId="48D88A70" w14:textId="77777777" w:rsidR="00637847" w:rsidRPr="00637847" w:rsidRDefault="00637847" w:rsidP="00637847">
            <w:pPr>
              <w:pStyle w:val="TableText"/>
              <w:rPr>
                <w:b/>
                <w:bCs/>
              </w:rPr>
            </w:pPr>
          </w:p>
        </w:tc>
        <w:tc>
          <w:tcPr>
            <w:tcW w:w="1487" w:type="dxa"/>
            <w:tcBorders>
              <w:bottom w:val="nil"/>
            </w:tcBorders>
            <w:shd w:val="clear" w:color="auto" w:fill="D9D9D9" w:themeFill="background1" w:themeFillShade="D9"/>
          </w:tcPr>
          <w:p w14:paraId="3643C0C8" w14:textId="77777777" w:rsidR="00637847" w:rsidRPr="00637847" w:rsidRDefault="00637847" w:rsidP="00637847">
            <w:pPr>
              <w:pStyle w:val="TableText"/>
              <w:jc w:val="center"/>
              <w:rPr>
                <w:b/>
                <w:bCs/>
              </w:rPr>
            </w:pPr>
            <w:r w:rsidRPr="00637847">
              <w:rPr>
                <w:b/>
                <w:bCs/>
              </w:rPr>
              <w:t>Men</w:t>
            </w:r>
          </w:p>
        </w:tc>
        <w:tc>
          <w:tcPr>
            <w:tcW w:w="1488" w:type="dxa"/>
            <w:tcBorders>
              <w:bottom w:val="nil"/>
            </w:tcBorders>
            <w:shd w:val="clear" w:color="auto" w:fill="D9D9D9" w:themeFill="background1" w:themeFillShade="D9"/>
          </w:tcPr>
          <w:p w14:paraId="6047872E" w14:textId="77777777" w:rsidR="00637847" w:rsidRPr="00637847" w:rsidRDefault="00637847" w:rsidP="00637847">
            <w:pPr>
              <w:pStyle w:val="TableText"/>
              <w:jc w:val="center"/>
              <w:rPr>
                <w:b/>
                <w:bCs/>
              </w:rPr>
            </w:pPr>
            <w:r w:rsidRPr="00637847">
              <w:rPr>
                <w:b/>
                <w:bCs/>
              </w:rPr>
              <w:t>Women</w:t>
            </w:r>
          </w:p>
        </w:tc>
        <w:tc>
          <w:tcPr>
            <w:tcW w:w="1488" w:type="dxa"/>
            <w:tcBorders>
              <w:bottom w:val="nil"/>
            </w:tcBorders>
            <w:shd w:val="clear" w:color="auto" w:fill="D9D9D9" w:themeFill="background1" w:themeFillShade="D9"/>
          </w:tcPr>
          <w:p w14:paraId="3319D756" w14:textId="77777777" w:rsidR="00637847" w:rsidRPr="00637847" w:rsidRDefault="00637847" w:rsidP="00637847">
            <w:pPr>
              <w:pStyle w:val="TableText"/>
              <w:jc w:val="center"/>
              <w:rPr>
                <w:b/>
                <w:bCs/>
              </w:rPr>
            </w:pPr>
            <w:r w:rsidRPr="00637847">
              <w:rPr>
                <w:b/>
                <w:bCs/>
              </w:rPr>
              <w:t>Men</w:t>
            </w:r>
          </w:p>
        </w:tc>
        <w:tc>
          <w:tcPr>
            <w:tcW w:w="1488" w:type="dxa"/>
            <w:tcBorders>
              <w:bottom w:val="nil"/>
            </w:tcBorders>
            <w:shd w:val="clear" w:color="auto" w:fill="D9D9D9" w:themeFill="background1" w:themeFillShade="D9"/>
          </w:tcPr>
          <w:p w14:paraId="0166E01A" w14:textId="77777777" w:rsidR="00637847" w:rsidRPr="00637847" w:rsidRDefault="00637847" w:rsidP="00637847">
            <w:pPr>
              <w:pStyle w:val="TableText"/>
              <w:jc w:val="center"/>
              <w:rPr>
                <w:b/>
                <w:bCs/>
              </w:rPr>
            </w:pPr>
            <w:r w:rsidRPr="00637847">
              <w:rPr>
                <w:b/>
                <w:bCs/>
              </w:rPr>
              <w:t>Women</w:t>
            </w:r>
          </w:p>
        </w:tc>
      </w:tr>
      <w:tr w:rsidR="00637847" w:rsidRPr="0007414B" w14:paraId="71422018" w14:textId="77777777" w:rsidTr="004B1165">
        <w:tc>
          <w:tcPr>
            <w:tcW w:w="1985" w:type="dxa"/>
            <w:tcBorders>
              <w:top w:val="nil"/>
            </w:tcBorders>
          </w:tcPr>
          <w:p w14:paraId="1534F8AB" w14:textId="77777777" w:rsidR="00637847" w:rsidRPr="0007414B" w:rsidRDefault="00637847" w:rsidP="00637847">
            <w:pPr>
              <w:pStyle w:val="TableText"/>
            </w:pPr>
            <w:r w:rsidRPr="0007414B">
              <w:t>All adults</w:t>
            </w:r>
          </w:p>
        </w:tc>
        <w:tc>
          <w:tcPr>
            <w:tcW w:w="1487" w:type="dxa"/>
            <w:tcBorders>
              <w:top w:val="nil"/>
            </w:tcBorders>
            <w:shd w:val="clear" w:color="auto" w:fill="auto"/>
          </w:tcPr>
          <w:p w14:paraId="2C346D2C" w14:textId="77777777" w:rsidR="00637847" w:rsidRPr="0007414B" w:rsidRDefault="00637847" w:rsidP="00637847">
            <w:pPr>
              <w:pStyle w:val="TableText"/>
              <w:jc w:val="center"/>
            </w:pPr>
            <w:r w:rsidRPr="0007414B">
              <w:t>84.2%</w:t>
            </w:r>
          </w:p>
        </w:tc>
        <w:tc>
          <w:tcPr>
            <w:tcW w:w="1488" w:type="dxa"/>
            <w:tcBorders>
              <w:top w:val="nil"/>
            </w:tcBorders>
            <w:shd w:val="clear" w:color="auto" w:fill="auto"/>
          </w:tcPr>
          <w:p w14:paraId="724CFB89" w14:textId="77777777" w:rsidR="00637847" w:rsidRPr="0007414B" w:rsidRDefault="00637847" w:rsidP="00637847">
            <w:pPr>
              <w:pStyle w:val="TableText"/>
              <w:jc w:val="center"/>
            </w:pPr>
            <w:r w:rsidRPr="0007414B">
              <w:t>82.2%</w:t>
            </w:r>
          </w:p>
        </w:tc>
        <w:tc>
          <w:tcPr>
            <w:tcW w:w="1488" w:type="dxa"/>
            <w:tcBorders>
              <w:top w:val="nil"/>
            </w:tcBorders>
            <w:shd w:val="clear" w:color="auto" w:fill="auto"/>
          </w:tcPr>
          <w:p w14:paraId="0E5AACB6" w14:textId="77777777" w:rsidR="00637847" w:rsidRPr="0007414B" w:rsidRDefault="00637847" w:rsidP="00637847">
            <w:pPr>
              <w:pStyle w:val="TableText"/>
              <w:jc w:val="center"/>
            </w:pPr>
            <w:r w:rsidRPr="0007414B">
              <w:t>85.8%</w:t>
            </w:r>
          </w:p>
        </w:tc>
        <w:tc>
          <w:tcPr>
            <w:tcW w:w="1488" w:type="dxa"/>
            <w:tcBorders>
              <w:top w:val="nil"/>
            </w:tcBorders>
            <w:shd w:val="clear" w:color="auto" w:fill="auto"/>
          </w:tcPr>
          <w:p w14:paraId="47A071FF" w14:textId="77777777" w:rsidR="00637847" w:rsidRPr="0007414B" w:rsidRDefault="00637847" w:rsidP="00637847">
            <w:pPr>
              <w:pStyle w:val="TableText"/>
              <w:jc w:val="center"/>
            </w:pPr>
            <w:r w:rsidRPr="0007414B">
              <w:t>81.5%</w:t>
            </w:r>
          </w:p>
        </w:tc>
      </w:tr>
      <w:tr w:rsidR="00637847" w:rsidRPr="0007414B" w14:paraId="561425EF" w14:textId="77777777" w:rsidTr="004B1165">
        <w:tc>
          <w:tcPr>
            <w:tcW w:w="1985" w:type="dxa"/>
          </w:tcPr>
          <w:p w14:paraId="10D63E78" w14:textId="77777777" w:rsidR="00637847" w:rsidRPr="0007414B" w:rsidRDefault="00637847" w:rsidP="00637847">
            <w:pPr>
              <w:pStyle w:val="TableText"/>
            </w:pPr>
            <w:r w:rsidRPr="0007414B">
              <w:t>Māori</w:t>
            </w:r>
          </w:p>
        </w:tc>
        <w:tc>
          <w:tcPr>
            <w:tcW w:w="1487" w:type="dxa"/>
            <w:shd w:val="clear" w:color="auto" w:fill="auto"/>
          </w:tcPr>
          <w:p w14:paraId="06273DEA" w14:textId="77777777" w:rsidR="00637847" w:rsidRPr="0007414B" w:rsidRDefault="00637847" w:rsidP="00637847">
            <w:pPr>
              <w:pStyle w:val="TableText"/>
              <w:jc w:val="center"/>
            </w:pPr>
            <w:r w:rsidRPr="0007414B">
              <w:t>81.8%</w:t>
            </w:r>
          </w:p>
        </w:tc>
        <w:tc>
          <w:tcPr>
            <w:tcW w:w="1488" w:type="dxa"/>
            <w:shd w:val="clear" w:color="auto" w:fill="auto"/>
          </w:tcPr>
          <w:p w14:paraId="2A7EF5F4" w14:textId="77777777" w:rsidR="00637847" w:rsidRPr="0007414B" w:rsidRDefault="00637847" w:rsidP="00637847">
            <w:pPr>
              <w:pStyle w:val="TableText"/>
              <w:jc w:val="center"/>
            </w:pPr>
            <w:r w:rsidRPr="0007414B">
              <w:t>77.0%</w:t>
            </w:r>
          </w:p>
        </w:tc>
        <w:tc>
          <w:tcPr>
            <w:tcW w:w="1488" w:type="dxa"/>
            <w:shd w:val="clear" w:color="auto" w:fill="auto"/>
          </w:tcPr>
          <w:p w14:paraId="63AE511A" w14:textId="77777777" w:rsidR="00637847" w:rsidRPr="0007414B" w:rsidRDefault="00637847" w:rsidP="00637847">
            <w:pPr>
              <w:pStyle w:val="TableText"/>
              <w:jc w:val="center"/>
            </w:pPr>
            <w:r w:rsidRPr="0007414B">
              <w:t>80.5%</w:t>
            </w:r>
          </w:p>
        </w:tc>
        <w:tc>
          <w:tcPr>
            <w:tcW w:w="1488" w:type="dxa"/>
            <w:shd w:val="clear" w:color="auto" w:fill="auto"/>
          </w:tcPr>
          <w:p w14:paraId="316A4CE1" w14:textId="77777777" w:rsidR="00637847" w:rsidRPr="0007414B" w:rsidRDefault="00637847" w:rsidP="00637847">
            <w:pPr>
              <w:pStyle w:val="TableText"/>
              <w:jc w:val="center"/>
            </w:pPr>
            <w:r w:rsidRPr="0007414B">
              <w:t>74.4%</w:t>
            </w:r>
          </w:p>
        </w:tc>
      </w:tr>
      <w:tr w:rsidR="00637847" w:rsidRPr="0007414B" w14:paraId="0C760BD1" w14:textId="77777777" w:rsidTr="004B1165">
        <w:tc>
          <w:tcPr>
            <w:tcW w:w="1985" w:type="dxa"/>
          </w:tcPr>
          <w:p w14:paraId="5E0025A1" w14:textId="77777777" w:rsidR="00637847" w:rsidRPr="0007414B" w:rsidRDefault="00637847" w:rsidP="00637847">
            <w:pPr>
              <w:pStyle w:val="TableText"/>
            </w:pPr>
            <w:r w:rsidRPr="0007414B">
              <w:t>Pacific peoples</w:t>
            </w:r>
          </w:p>
        </w:tc>
        <w:tc>
          <w:tcPr>
            <w:tcW w:w="1487" w:type="dxa"/>
            <w:shd w:val="clear" w:color="auto" w:fill="auto"/>
          </w:tcPr>
          <w:p w14:paraId="46B0693B" w14:textId="77777777" w:rsidR="00637847" w:rsidRPr="0007414B" w:rsidRDefault="00637847" w:rsidP="00637847">
            <w:pPr>
              <w:pStyle w:val="TableText"/>
              <w:jc w:val="center"/>
            </w:pPr>
            <w:r w:rsidRPr="0007414B">
              <w:t>92.5%</w:t>
            </w:r>
          </w:p>
        </w:tc>
        <w:tc>
          <w:tcPr>
            <w:tcW w:w="1488" w:type="dxa"/>
            <w:shd w:val="clear" w:color="auto" w:fill="auto"/>
          </w:tcPr>
          <w:p w14:paraId="78C1CACE" w14:textId="77777777" w:rsidR="00637847" w:rsidRPr="0007414B" w:rsidRDefault="00637847" w:rsidP="00637847">
            <w:pPr>
              <w:pStyle w:val="TableText"/>
              <w:jc w:val="center"/>
            </w:pPr>
            <w:r w:rsidRPr="0007414B">
              <w:t>80.5%</w:t>
            </w:r>
          </w:p>
        </w:tc>
        <w:tc>
          <w:tcPr>
            <w:tcW w:w="1488" w:type="dxa"/>
            <w:shd w:val="clear" w:color="auto" w:fill="auto"/>
          </w:tcPr>
          <w:p w14:paraId="3D8E40E4" w14:textId="77777777" w:rsidR="00637847" w:rsidRPr="0007414B" w:rsidRDefault="00637847" w:rsidP="00637847">
            <w:pPr>
              <w:pStyle w:val="TableText"/>
              <w:jc w:val="center"/>
            </w:pPr>
            <w:r w:rsidRPr="0007414B">
              <w:t>90.0%</w:t>
            </w:r>
          </w:p>
        </w:tc>
        <w:tc>
          <w:tcPr>
            <w:tcW w:w="1488" w:type="dxa"/>
            <w:shd w:val="clear" w:color="auto" w:fill="auto"/>
          </w:tcPr>
          <w:p w14:paraId="155C2EA4" w14:textId="77777777" w:rsidR="00637847" w:rsidRPr="0007414B" w:rsidRDefault="00637847" w:rsidP="00637847">
            <w:pPr>
              <w:pStyle w:val="TableText"/>
              <w:jc w:val="center"/>
            </w:pPr>
            <w:r w:rsidRPr="0007414B">
              <w:t>75.0%</w:t>
            </w:r>
          </w:p>
        </w:tc>
      </w:tr>
      <w:tr w:rsidR="00637847" w:rsidRPr="0007414B" w14:paraId="1831FD0B" w14:textId="77777777" w:rsidTr="004B1165">
        <w:tc>
          <w:tcPr>
            <w:tcW w:w="1985" w:type="dxa"/>
          </w:tcPr>
          <w:p w14:paraId="27B01A48" w14:textId="77777777" w:rsidR="00637847" w:rsidRPr="0007414B" w:rsidRDefault="00637847" w:rsidP="00637847">
            <w:pPr>
              <w:pStyle w:val="TableText"/>
            </w:pPr>
            <w:r w:rsidRPr="0007414B">
              <w:t>Asian</w:t>
            </w:r>
          </w:p>
        </w:tc>
        <w:tc>
          <w:tcPr>
            <w:tcW w:w="1487" w:type="dxa"/>
            <w:shd w:val="clear" w:color="auto" w:fill="auto"/>
          </w:tcPr>
          <w:p w14:paraId="29ED0F54" w14:textId="77777777" w:rsidR="00637847" w:rsidRPr="0007414B" w:rsidRDefault="00637847" w:rsidP="00637847">
            <w:pPr>
              <w:pStyle w:val="TableText"/>
              <w:jc w:val="center"/>
            </w:pPr>
            <w:r w:rsidRPr="0007414B">
              <w:t>87.4%</w:t>
            </w:r>
          </w:p>
        </w:tc>
        <w:tc>
          <w:tcPr>
            <w:tcW w:w="1488" w:type="dxa"/>
            <w:shd w:val="clear" w:color="auto" w:fill="auto"/>
          </w:tcPr>
          <w:p w14:paraId="0671D4D3" w14:textId="77777777" w:rsidR="00637847" w:rsidRPr="0007414B" w:rsidRDefault="00637847" w:rsidP="00637847">
            <w:pPr>
              <w:pStyle w:val="TableText"/>
              <w:jc w:val="center"/>
            </w:pPr>
            <w:r w:rsidRPr="0007414B">
              <w:t>84.5%</w:t>
            </w:r>
          </w:p>
        </w:tc>
        <w:tc>
          <w:tcPr>
            <w:tcW w:w="1488" w:type="dxa"/>
            <w:shd w:val="clear" w:color="auto" w:fill="auto"/>
          </w:tcPr>
          <w:p w14:paraId="57FE44D2" w14:textId="77777777" w:rsidR="00637847" w:rsidRPr="0007414B" w:rsidRDefault="00637847" w:rsidP="00637847">
            <w:pPr>
              <w:pStyle w:val="TableText"/>
              <w:jc w:val="center"/>
            </w:pPr>
            <w:r w:rsidRPr="0007414B">
              <w:t>85.2%</w:t>
            </w:r>
          </w:p>
        </w:tc>
        <w:tc>
          <w:tcPr>
            <w:tcW w:w="1488" w:type="dxa"/>
            <w:shd w:val="clear" w:color="auto" w:fill="auto"/>
          </w:tcPr>
          <w:p w14:paraId="50A2FF89" w14:textId="77777777" w:rsidR="00637847" w:rsidRPr="0007414B" w:rsidRDefault="00637847" w:rsidP="00637847">
            <w:pPr>
              <w:pStyle w:val="TableText"/>
              <w:jc w:val="center"/>
            </w:pPr>
            <w:r w:rsidRPr="0007414B">
              <w:t>86.4%</w:t>
            </w:r>
          </w:p>
        </w:tc>
      </w:tr>
      <w:tr w:rsidR="00637847" w:rsidRPr="0007414B" w14:paraId="52506BE1" w14:textId="77777777" w:rsidTr="004B1165">
        <w:tc>
          <w:tcPr>
            <w:tcW w:w="1985" w:type="dxa"/>
          </w:tcPr>
          <w:p w14:paraId="50C55368" w14:textId="77777777" w:rsidR="00637847" w:rsidRPr="0007414B" w:rsidRDefault="00637847" w:rsidP="00637847">
            <w:pPr>
              <w:pStyle w:val="TableText"/>
            </w:pPr>
            <w:r w:rsidRPr="0007414B">
              <w:t>European/other</w:t>
            </w:r>
          </w:p>
        </w:tc>
        <w:tc>
          <w:tcPr>
            <w:tcW w:w="1487" w:type="dxa"/>
            <w:shd w:val="clear" w:color="auto" w:fill="auto"/>
          </w:tcPr>
          <w:p w14:paraId="3D1D9067" w14:textId="77777777" w:rsidR="00637847" w:rsidRPr="0007414B" w:rsidRDefault="00637847" w:rsidP="00637847">
            <w:pPr>
              <w:pStyle w:val="TableText"/>
              <w:jc w:val="center"/>
            </w:pPr>
            <w:r w:rsidRPr="0007414B">
              <w:t>82.9%</w:t>
            </w:r>
          </w:p>
        </w:tc>
        <w:tc>
          <w:tcPr>
            <w:tcW w:w="1488" w:type="dxa"/>
            <w:shd w:val="clear" w:color="auto" w:fill="auto"/>
          </w:tcPr>
          <w:p w14:paraId="32398E2B" w14:textId="77777777" w:rsidR="00637847" w:rsidRPr="0007414B" w:rsidRDefault="00637847" w:rsidP="00637847">
            <w:pPr>
              <w:pStyle w:val="TableText"/>
              <w:jc w:val="center"/>
            </w:pPr>
            <w:r w:rsidRPr="0007414B">
              <w:t>82.5%</w:t>
            </w:r>
          </w:p>
        </w:tc>
        <w:tc>
          <w:tcPr>
            <w:tcW w:w="1488" w:type="dxa"/>
            <w:shd w:val="clear" w:color="auto" w:fill="auto"/>
          </w:tcPr>
          <w:p w14:paraId="650FDDC9" w14:textId="77777777" w:rsidR="00637847" w:rsidRPr="0007414B" w:rsidRDefault="00637847" w:rsidP="00637847">
            <w:pPr>
              <w:pStyle w:val="TableText"/>
              <w:jc w:val="center"/>
            </w:pPr>
            <w:r w:rsidRPr="0007414B">
              <w:t>85.8%</w:t>
            </w:r>
          </w:p>
        </w:tc>
        <w:tc>
          <w:tcPr>
            <w:tcW w:w="1488" w:type="dxa"/>
            <w:shd w:val="clear" w:color="auto" w:fill="auto"/>
          </w:tcPr>
          <w:p w14:paraId="2CBC63E1" w14:textId="77777777" w:rsidR="00637847" w:rsidRPr="0007414B" w:rsidRDefault="00637847" w:rsidP="00637847">
            <w:pPr>
              <w:pStyle w:val="TableText"/>
              <w:jc w:val="center"/>
            </w:pPr>
            <w:r w:rsidRPr="0007414B">
              <w:t>81.6%</w:t>
            </w:r>
          </w:p>
        </w:tc>
      </w:tr>
      <w:tr w:rsidR="00637847" w:rsidRPr="0007414B" w14:paraId="6C1F83B0" w14:textId="77777777" w:rsidTr="004B1165">
        <w:tc>
          <w:tcPr>
            <w:tcW w:w="1985" w:type="dxa"/>
          </w:tcPr>
          <w:p w14:paraId="724778F7" w14:textId="77777777" w:rsidR="00637847" w:rsidRPr="0007414B" w:rsidRDefault="00637847" w:rsidP="00637847">
            <w:pPr>
              <w:pStyle w:val="TableText"/>
            </w:pPr>
            <w:r w:rsidRPr="0007414B">
              <w:t>Disabled</w:t>
            </w:r>
          </w:p>
        </w:tc>
        <w:tc>
          <w:tcPr>
            <w:tcW w:w="1487" w:type="dxa"/>
            <w:shd w:val="clear" w:color="auto" w:fill="auto"/>
          </w:tcPr>
          <w:p w14:paraId="3AF8A0F4" w14:textId="77777777" w:rsidR="00637847" w:rsidRPr="0007414B" w:rsidRDefault="00637847" w:rsidP="00637847">
            <w:pPr>
              <w:pStyle w:val="TableText"/>
              <w:jc w:val="center"/>
            </w:pPr>
            <w:r w:rsidRPr="0007414B">
              <w:t>76.7%</w:t>
            </w:r>
          </w:p>
        </w:tc>
        <w:tc>
          <w:tcPr>
            <w:tcW w:w="1488" w:type="dxa"/>
            <w:shd w:val="clear" w:color="auto" w:fill="auto"/>
          </w:tcPr>
          <w:p w14:paraId="6F4388FB" w14:textId="77777777" w:rsidR="00637847" w:rsidRPr="0007414B" w:rsidRDefault="00637847" w:rsidP="00637847">
            <w:pPr>
              <w:pStyle w:val="TableText"/>
              <w:jc w:val="center"/>
            </w:pPr>
            <w:r w:rsidRPr="0007414B">
              <w:t>64.9%</w:t>
            </w:r>
          </w:p>
        </w:tc>
        <w:tc>
          <w:tcPr>
            <w:tcW w:w="1488" w:type="dxa"/>
            <w:shd w:val="clear" w:color="auto" w:fill="auto"/>
          </w:tcPr>
          <w:p w14:paraId="0CEAE4F2" w14:textId="77777777" w:rsidR="00637847" w:rsidRPr="0007414B" w:rsidRDefault="00637847" w:rsidP="00637847">
            <w:pPr>
              <w:pStyle w:val="TableText"/>
              <w:jc w:val="center"/>
            </w:pPr>
            <w:r w:rsidRPr="0007414B">
              <w:t>70.1%</w:t>
            </w:r>
          </w:p>
        </w:tc>
        <w:tc>
          <w:tcPr>
            <w:tcW w:w="1488" w:type="dxa"/>
            <w:shd w:val="clear" w:color="auto" w:fill="auto"/>
          </w:tcPr>
          <w:p w14:paraId="2A5DD0C9" w14:textId="77777777" w:rsidR="00637847" w:rsidRPr="0007414B" w:rsidRDefault="00637847" w:rsidP="00637847">
            <w:pPr>
              <w:pStyle w:val="TableText"/>
              <w:jc w:val="center"/>
            </w:pPr>
            <w:r w:rsidRPr="0007414B">
              <w:t>62.5%</w:t>
            </w:r>
          </w:p>
        </w:tc>
      </w:tr>
      <w:tr w:rsidR="00637847" w:rsidRPr="0007414B" w14:paraId="1E6F3272" w14:textId="77777777" w:rsidTr="004B1165">
        <w:tc>
          <w:tcPr>
            <w:tcW w:w="1985" w:type="dxa"/>
          </w:tcPr>
          <w:p w14:paraId="100BDA85" w14:textId="77777777" w:rsidR="00637847" w:rsidRPr="0007414B" w:rsidRDefault="00637847" w:rsidP="00637847">
            <w:pPr>
              <w:pStyle w:val="TableText"/>
            </w:pPr>
            <w:r w:rsidRPr="0007414B">
              <w:t>Non-disabled</w:t>
            </w:r>
          </w:p>
        </w:tc>
        <w:tc>
          <w:tcPr>
            <w:tcW w:w="1487" w:type="dxa"/>
            <w:shd w:val="clear" w:color="auto" w:fill="auto"/>
          </w:tcPr>
          <w:p w14:paraId="31CAE33B" w14:textId="77777777" w:rsidR="00637847" w:rsidRPr="0007414B" w:rsidRDefault="00637847" w:rsidP="00637847">
            <w:pPr>
              <w:pStyle w:val="TableText"/>
              <w:jc w:val="center"/>
            </w:pPr>
            <w:r w:rsidRPr="0007414B">
              <w:t>84.8%</w:t>
            </w:r>
          </w:p>
        </w:tc>
        <w:tc>
          <w:tcPr>
            <w:tcW w:w="1488" w:type="dxa"/>
            <w:shd w:val="clear" w:color="auto" w:fill="auto"/>
          </w:tcPr>
          <w:p w14:paraId="4F7C09C7" w14:textId="77777777" w:rsidR="00637847" w:rsidRPr="0007414B" w:rsidRDefault="00637847" w:rsidP="00637847">
            <w:pPr>
              <w:pStyle w:val="TableText"/>
              <w:jc w:val="center"/>
            </w:pPr>
            <w:r w:rsidRPr="0007414B">
              <w:t>83.9%</w:t>
            </w:r>
          </w:p>
        </w:tc>
        <w:tc>
          <w:tcPr>
            <w:tcW w:w="1488" w:type="dxa"/>
            <w:shd w:val="clear" w:color="auto" w:fill="auto"/>
          </w:tcPr>
          <w:p w14:paraId="648FEBBC" w14:textId="77777777" w:rsidR="00637847" w:rsidRPr="0007414B" w:rsidRDefault="00637847" w:rsidP="00637847">
            <w:pPr>
              <w:pStyle w:val="TableText"/>
              <w:jc w:val="center"/>
            </w:pPr>
            <w:r w:rsidRPr="0007414B">
              <w:t>87.2%</w:t>
            </w:r>
          </w:p>
        </w:tc>
        <w:tc>
          <w:tcPr>
            <w:tcW w:w="1488" w:type="dxa"/>
            <w:shd w:val="clear" w:color="auto" w:fill="auto"/>
          </w:tcPr>
          <w:p w14:paraId="00538057" w14:textId="77777777" w:rsidR="00637847" w:rsidRPr="0007414B" w:rsidRDefault="00637847" w:rsidP="00637847">
            <w:pPr>
              <w:pStyle w:val="TableText"/>
              <w:jc w:val="center"/>
            </w:pPr>
            <w:r w:rsidRPr="0007414B">
              <w:t>83.4%</w:t>
            </w:r>
          </w:p>
        </w:tc>
      </w:tr>
      <w:tr w:rsidR="00637847" w:rsidRPr="0007414B" w14:paraId="31590036" w14:textId="77777777" w:rsidTr="004B1165">
        <w:tc>
          <w:tcPr>
            <w:tcW w:w="1985" w:type="dxa"/>
          </w:tcPr>
          <w:p w14:paraId="2AEEF2AB" w14:textId="77777777" w:rsidR="00637847" w:rsidRPr="0007414B" w:rsidRDefault="00637847" w:rsidP="00637847">
            <w:pPr>
              <w:pStyle w:val="TableText"/>
            </w:pPr>
            <w:r w:rsidRPr="0007414B">
              <w:t>Least deprived areas*</w:t>
            </w:r>
          </w:p>
        </w:tc>
        <w:tc>
          <w:tcPr>
            <w:tcW w:w="1487" w:type="dxa"/>
            <w:shd w:val="clear" w:color="auto" w:fill="auto"/>
          </w:tcPr>
          <w:p w14:paraId="2BE05547" w14:textId="77777777" w:rsidR="00637847" w:rsidRPr="0007414B" w:rsidRDefault="00637847" w:rsidP="00637847">
            <w:pPr>
              <w:pStyle w:val="TableText"/>
              <w:jc w:val="center"/>
            </w:pPr>
            <w:r w:rsidRPr="0007414B">
              <w:t>86.7%</w:t>
            </w:r>
          </w:p>
        </w:tc>
        <w:tc>
          <w:tcPr>
            <w:tcW w:w="1488" w:type="dxa"/>
            <w:shd w:val="clear" w:color="auto" w:fill="auto"/>
          </w:tcPr>
          <w:p w14:paraId="58343F63" w14:textId="77777777" w:rsidR="00637847" w:rsidRPr="0007414B" w:rsidRDefault="00637847" w:rsidP="00637847">
            <w:pPr>
              <w:pStyle w:val="TableText"/>
              <w:jc w:val="center"/>
            </w:pPr>
            <w:r w:rsidRPr="0007414B">
              <w:t>82.5%</w:t>
            </w:r>
          </w:p>
        </w:tc>
        <w:tc>
          <w:tcPr>
            <w:tcW w:w="1488" w:type="dxa"/>
            <w:shd w:val="clear" w:color="auto" w:fill="auto"/>
          </w:tcPr>
          <w:p w14:paraId="67709473" w14:textId="77777777" w:rsidR="00637847" w:rsidRPr="0007414B" w:rsidRDefault="00637847" w:rsidP="00637847">
            <w:pPr>
              <w:pStyle w:val="TableText"/>
              <w:jc w:val="center"/>
            </w:pPr>
            <w:r w:rsidRPr="0007414B">
              <w:t>94.9%</w:t>
            </w:r>
          </w:p>
        </w:tc>
        <w:tc>
          <w:tcPr>
            <w:tcW w:w="1488" w:type="dxa"/>
            <w:shd w:val="clear" w:color="auto" w:fill="auto"/>
          </w:tcPr>
          <w:p w14:paraId="64FBF7A9" w14:textId="77777777" w:rsidR="00637847" w:rsidRPr="0007414B" w:rsidRDefault="00637847" w:rsidP="00637847">
            <w:pPr>
              <w:pStyle w:val="TableText"/>
              <w:jc w:val="center"/>
            </w:pPr>
            <w:r w:rsidRPr="0007414B">
              <w:t>81.0%</w:t>
            </w:r>
          </w:p>
        </w:tc>
      </w:tr>
      <w:tr w:rsidR="00637847" w:rsidRPr="0007414B" w14:paraId="0D07E3A5" w14:textId="77777777" w:rsidTr="004B1165">
        <w:tc>
          <w:tcPr>
            <w:tcW w:w="1985" w:type="dxa"/>
          </w:tcPr>
          <w:p w14:paraId="3E69EE16" w14:textId="77777777" w:rsidR="00637847" w:rsidRPr="0007414B" w:rsidRDefault="00637847" w:rsidP="00637847">
            <w:pPr>
              <w:pStyle w:val="TableText"/>
            </w:pPr>
            <w:r w:rsidRPr="0007414B">
              <w:t>Most deprived areas*</w:t>
            </w:r>
          </w:p>
        </w:tc>
        <w:tc>
          <w:tcPr>
            <w:tcW w:w="1487" w:type="dxa"/>
            <w:shd w:val="clear" w:color="auto" w:fill="auto"/>
          </w:tcPr>
          <w:p w14:paraId="00DF8D00" w14:textId="77777777" w:rsidR="00637847" w:rsidRPr="0007414B" w:rsidRDefault="00637847" w:rsidP="00637847">
            <w:pPr>
              <w:pStyle w:val="TableText"/>
              <w:jc w:val="center"/>
            </w:pPr>
            <w:r w:rsidRPr="0007414B">
              <w:t>82.0%</w:t>
            </w:r>
          </w:p>
        </w:tc>
        <w:tc>
          <w:tcPr>
            <w:tcW w:w="1488" w:type="dxa"/>
            <w:shd w:val="clear" w:color="auto" w:fill="auto"/>
          </w:tcPr>
          <w:p w14:paraId="1B30E5A9" w14:textId="77777777" w:rsidR="00637847" w:rsidRPr="0007414B" w:rsidRDefault="00637847" w:rsidP="00637847">
            <w:pPr>
              <w:pStyle w:val="TableText"/>
              <w:jc w:val="center"/>
            </w:pPr>
            <w:r w:rsidRPr="0007414B">
              <w:t>77.1%</w:t>
            </w:r>
          </w:p>
        </w:tc>
        <w:tc>
          <w:tcPr>
            <w:tcW w:w="1488" w:type="dxa"/>
            <w:shd w:val="clear" w:color="auto" w:fill="auto"/>
          </w:tcPr>
          <w:p w14:paraId="3DE741C3" w14:textId="77777777" w:rsidR="00637847" w:rsidRPr="0007414B" w:rsidRDefault="00637847" w:rsidP="00637847">
            <w:pPr>
              <w:pStyle w:val="TableText"/>
              <w:jc w:val="center"/>
            </w:pPr>
            <w:r w:rsidRPr="0007414B">
              <w:t>80.9%</w:t>
            </w:r>
          </w:p>
        </w:tc>
        <w:tc>
          <w:tcPr>
            <w:tcW w:w="1488" w:type="dxa"/>
            <w:shd w:val="clear" w:color="auto" w:fill="auto"/>
          </w:tcPr>
          <w:p w14:paraId="6BD2B21D" w14:textId="77777777" w:rsidR="00637847" w:rsidRPr="0007414B" w:rsidRDefault="00637847" w:rsidP="00637847">
            <w:pPr>
              <w:pStyle w:val="TableText"/>
              <w:jc w:val="center"/>
            </w:pPr>
            <w:r w:rsidRPr="0007414B">
              <w:t>77.3%</w:t>
            </w:r>
          </w:p>
        </w:tc>
      </w:tr>
    </w:tbl>
    <w:p w14:paraId="1F81D4FD" w14:textId="77777777" w:rsidR="00637847" w:rsidRPr="009D4590" w:rsidRDefault="00637847" w:rsidP="00637847">
      <w:pPr>
        <w:pStyle w:val="Note"/>
      </w:pPr>
      <w:r w:rsidRPr="009D4590">
        <w:t xml:space="preserve">Note: * </w:t>
      </w:r>
      <w:r>
        <w:t>B</w:t>
      </w:r>
      <w:r w:rsidRPr="009D4590">
        <w:t xml:space="preserve">ased on NZDep2018 quintiles for deprivation </w:t>
      </w:r>
      <w:r w:rsidRPr="009D4590">
        <w:fldChar w:fldCharType="begin"/>
      </w:r>
      <w:r w:rsidRPr="009D4590">
        <w:instrText xml:space="preserve"> ADDIN EN.CITE &lt;EndNote&gt;&lt;Cite&gt;&lt;Author&gt;Atkinson&lt;/Author&gt;&lt;Year&gt;2020&lt;/Year&gt;&lt;RecNum&gt;74&lt;/RecNum&gt;&lt;DisplayText&gt;(Atkinson et al 2020)&lt;/DisplayText&gt;&lt;record&gt;&lt;rec-number&gt;74&lt;/rec-number&gt;&lt;foreign-keys&gt;&lt;key app="EN" db-id="aaepvppzs5wtfse95vsp2wahsrtvva2vvdet" timestamp="1632435054"&gt;74&lt;/key&gt;&lt;/foreign-keys&gt;&lt;ref-type name="Web Page"&gt;12&lt;/ref-type&gt;&lt;contributors&gt;&lt;authors&gt;&lt;author&gt;Atkinson, June&lt;/author&gt;&lt;author&gt;Salmond, Clare&lt;/author&gt;&lt;author&gt;Crampton, Peter&lt;/author&gt;&lt;/authors&gt;&lt;/contributors&gt;&lt;titles&gt;&lt;title&gt;NZDep2018 Index of Deprivation&lt;/title&gt;&lt;secondary-title&gt;Wellington: University of Otago&lt;/secondary-title&gt;&lt;/titles&gt;&lt;periodical&gt;&lt;full-title&gt;Wellington: University of Otago&lt;/full-title&gt;&lt;/periodical&gt;&lt;number&gt;5 May 2023&lt;/number&gt;&lt;dates&gt;&lt;year&gt;2020&lt;/year&gt;&lt;/dates&gt;&lt;urls&gt;&lt;related-urls&gt;&lt;url&gt;www.otago.ac.nz/wellington/otago823833.pdf&lt;/url&gt;&lt;/related-urls&gt;&lt;/urls&gt;&lt;/record&gt;&lt;/Cite&gt;&lt;/EndNote&gt;</w:instrText>
      </w:r>
      <w:r w:rsidRPr="009D4590">
        <w:fldChar w:fldCharType="separate"/>
      </w:r>
      <w:r w:rsidRPr="009D4590">
        <w:t>(Atkinson et al 2020)</w:t>
      </w:r>
      <w:r w:rsidRPr="009D4590">
        <w:fldChar w:fldCharType="end"/>
      </w:r>
      <w:r w:rsidRPr="009D4590">
        <w:t>.</w:t>
      </w:r>
    </w:p>
    <w:p w14:paraId="52D4B2EB" w14:textId="77777777" w:rsidR="00637847" w:rsidRPr="00637847" w:rsidRDefault="00637847" w:rsidP="00637847">
      <w:pPr>
        <w:pStyle w:val="Source"/>
      </w:pPr>
      <w:r w:rsidRPr="00637847">
        <w:t xml:space="preserve">Source: </w:t>
      </w:r>
      <w:hyperlink r:id="rId68" w:anchor="!/home" w:history="1">
        <w:r w:rsidRPr="00637847">
          <w:rPr>
            <w:rStyle w:val="Hyperlink"/>
          </w:rPr>
          <w:t>Manatū Hauora (2023a)</w:t>
        </w:r>
      </w:hyperlink>
    </w:p>
    <w:p w14:paraId="7E272504" w14:textId="77777777" w:rsidR="00637847" w:rsidRPr="0007414B" w:rsidRDefault="00637847" w:rsidP="00637847">
      <w:pPr>
        <w:pStyle w:val="Heading3"/>
      </w:pPr>
      <w:r w:rsidRPr="0007414B">
        <w:t>Mental distress</w:t>
      </w:r>
    </w:p>
    <w:p w14:paraId="3EC409FB" w14:textId="77777777" w:rsidR="00637847" w:rsidRPr="0007414B" w:rsidRDefault="00637847" w:rsidP="00637847">
      <w:pPr>
        <w:pStyle w:val="Heading4"/>
      </w:pPr>
      <w:r w:rsidRPr="0007414B">
        <w:t>Psychological distress</w:t>
      </w:r>
    </w:p>
    <w:p w14:paraId="01BFC205" w14:textId="77777777" w:rsidR="00637847" w:rsidRPr="0007414B" w:rsidRDefault="00637847" w:rsidP="00637847">
      <w:pPr>
        <w:rPr>
          <w:rFonts w:eastAsia="Calibri Light"/>
        </w:rPr>
      </w:pPr>
      <w:r w:rsidRPr="0007414B">
        <w:rPr>
          <w:rFonts w:eastAsia="Calibri Light"/>
        </w:rPr>
        <w:t xml:space="preserve">In the Health Survey, psychological, or mental, distress refers to a person’s experience of symptoms such as anxiety, psychological fatigue or depression in the 4 weeks before the survey </w:t>
      </w:r>
      <w:r>
        <w:rPr>
          <w:rFonts w:eastAsia="Calibri Light"/>
        </w:rPr>
        <w:t xml:space="preserve"> was conducted </w:t>
      </w:r>
      <w:r w:rsidRPr="0007414B">
        <w:rPr>
          <w:rFonts w:eastAsia="Calibri Light"/>
        </w:rPr>
        <w:fldChar w:fldCharType="begin"/>
      </w:r>
      <w:r>
        <w:rPr>
          <w:rFonts w:eastAsia="Calibri Light"/>
        </w:rPr>
        <w:instrText xml:space="preserve"> ADDIN EN.CITE &lt;EndNote&gt;&lt;Cite&gt;&lt;Author&gt;Manatū Hauora&lt;/Author&gt;&lt;Year&gt;2022&lt;/Year&gt;&lt;RecNum&gt;376&lt;/RecNum&gt;&lt;DisplayText&gt;(Manatū Hauora 2022l)&lt;/DisplayText&gt;&lt;record&gt;&lt;rec-number&gt;376&lt;/rec-number&gt;&lt;foreign-keys&gt;&lt;key app="EN" db-id="aaepvppzs5wtfse95vsp2wahsrtvva2vvdet" timestamp="1684375078"&gt;376&lt;/key&gt;&lt;/foreign-keys&gt;&lt;ref-type name="Web Page"&gt;12&lt;/ref-type&gt;&lt;contributors&gt;&lt;authors&gt;&lt;author&gt;&lt;style face="normal" font="default" size="100%"&gt;Manat&lt;/style&gt;&lt;style face="normal" font="default" charset="238" size="100%"&gt;ū Hauora,&lt;/style&gt;&lt;/author&gt;&lt;/authors&gt;&lt;/contributors&gt;&lt;titles&gt;&lt;title&gt;Questionnaires and Content Guide 2021/22: New Zealand Health Survey&lt;/title&gt;&lt;/titles&gt;&lt;number&gt;18 May 2023&lt;/number&gt;&lt;dates&gt;&lt;year&gt;2022&lt;/year&gt;&lt;/dates&gt;&lt;urls&gt;&lt;related-urls&gt;&lt;url&gt;www.health.govt.nz/publication/questionnaires-and-content-guide-2021-22-new-zealand-health-surve&lt;/url&gt;&lt;/related-urls&gt;&lt;/urls&gt;&lt;/record&gt;&lt;/Cite&gt;&lt;/EndNote&gt;</w:instrText>
      </w:r>
      <w:r w:rsidRPr="0007414B">
        <w:rPr>
          <w:rFonts w:eastAsia="Calibri Light"/>
        </w:rPr>
        <w:fldChar w:fldCharType="separate"/>
      </w:r>
      <w:r w:rsidRPr="0007414B">
        <w:rPr>
          <w:rFonts w:eastAsia="Calibri Light"/>
          <w:noProof/>
        </w:rPr>
        <w:t>(Manatū Hauora 2022l)</w:t>
      </w:r>
      <w:r w:rsidRPr="0007414B">
        <w:rPr>
          <w:rFonts w:eastAsia="Calibri Light"/>
        </w:rPr>
        <w:fldChar w:fldCharType="end"/>
      </w:r>
      <w:r w:rsidRPr="0007414B">
        <w:rPr>
          <w:rFonts w:eastAsia="Calibri Light"/>
        </w:rPr>
        <w:t xml:space="preserve">. In </w:t>
      </w:r>
      <w:r w:rsidRPr="0007414B">
        <w:t xml:space="preserve">the 3-year pooled period ending </w:t>
      </w:r>
      <w:r w:rsidRPr="0007414B">
        <w:rPr>
          <w:rFonts w:eastAsia="Calibri Light"/>
        </w:rPr>
        <w:t>2021/22, among adults (aged 15 years and over):</w:t>
      </w:r>
    </w:p>
    <w:p w14:paraId="3482F982" w14:textId="77777777" w:rsidR="00637847" w:rsidRPr="0007414B" w:rsidRDefault="00637847" w:rsidP="00637847">
      <w:pPr>
        <w:pStyle w:val="Bullet"/>
      </w:pPr>
      <w:r w:rsidRPr="0007414B">
        <w:t>78.9%</w:t>
      </w:r>
      <w:r w:rsidRPr="0007414B" w:rsidDel="005574D4">
        <w:t xml:space="preserve"> </w:t>
      </w:r>
      <w:r w:rsidRPr="0007414B">
        <w:t>experienced no or low levels of psychological distress</w:t>
      </w:r>
    </w:p>
    <w:p w14:paraId="1FAAB2D8" w14:textId="77777777" w:rsidR="00637847" w:rsidRPr="0007414B" w:rsidRDefault="00637847" w:rsidP="00637847">
      <w:pPr>
        <w:pStyle w:val="Bullet"/>
      </w:pPr>
      <w:r w:rsidRPr="0007414B">
        <w:t>14.2% experienced moderate levels</w:t>
      </w:r>
    </w:p>
    <w:p w14:paraId="729BBEF0" w14:textId="77777777" w:rsidR="00637847" w:rsidRPr="0007414B" w:rsidRDefault="00637847" w:rsidP="00637847">
      <w:pPr>
        <w:pStyle w:val="Bullet"/>
      </w:pPr>
      <w:r w:rsidRPr="0007414B">
        <w:t xml:space="preserve">9.4% experienced high or very high levels of psychological distress </w:t>
      </w:r>
      <w:r w:rsidRPr="0007414B">
        <w:fldChar w:fldCharType="begin"/>
      </w:r>
      <w:r w:rsidRPr="0007414B">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fldChar w:fldCharType="separate"/>
      </w:r>
      <w:r w:rsidRPr="0007414B">
        <w:t>(Manatū Hauora 2023a)</w:t>
      </w:r>
      <w:r w:rsidRPr="0007414B">
        <w:fldChar w:fldCharType="end"/>
      </w:r>
      <w:r w:rsidRPr="0007414B">
        <w:t>.</w:t>
      </w:r>
    </w:p>
    <w:p w14:paraId="5BF8FF69" w14:textId="77777777" w:rsidR="00637847" w:rsidRPr="0007414B" w:rsidRDefault="00637847" w:rsidP="00637847">
      <w:pPr>
        <w:rPr>
          <w:rFonts w:eastAsia="Calibri Light"/>
        </w:rPr>
      </w:pPr>
    </w:p>
    <w:p w14:paraId="7A6B53A8" w14:textId="77777777" w:rsidR="00637847" w:rsidRPr="0007414B" w:rsidRDefault="00637847" w:rsidP="00637847">
      <w:pPr>
        <w:rPr>
          <w:lang w:eastAsia="en-NZ"/>
        </w:rPr>
      </w:pPr>
      <w:r w:rsidRPr="0007414B">
        <w:rPr>
          <w:lang w:eastAsia="en-NZ"/>
        </w:rPr>
        <w:t xml:space="preserve">The Stats NZ study, </w:t>
      </w:r>
      <w:hyperlink r:id="rId69">
        <w:r w:rsidRPr="0007414B">
          <w:rPr>
            <w:rStyle w:val="Hyperlink"/>
            <w:rFonts w:cs="Segoe UI"/>
            <w:i/>
            <w:iCs/>
            <w:lang w:eastAsia="en-NZ"/>
          </w:rPr>
          <w:t>LGBT+ population of Aotearoa: Year ended June 2020</w:t>
        </w:r>
      </w:hyperlink>
      <w:r w:rsidRPr="0007414B">
        <w:rPr>
          <w:lang w:eastAsia="en-NZ"/>
        </w:rPr>
        <w:t>, published in November 2022, showed LGBT+ people were:</w:t>
      </w:r>
    </w:p>
    <w:p w14:paraId="02753F2F" w14:textId="77777777" w:rsidR="00637847" w:rsidRPr="0007414B" w:rsidRDefault="00637847" w:rsidP="00637847">
      <w:pPr>
        <w:pStyle w:val="Bullet"/>
      </w:pPr>
      <w:r w:rsidRPr="0007414B">
        <w:t>more than twice as likely to report daily feelings of anxiety, nervousness and worry (26.3%) as the non-LGBT+ population (11.0%)</w:t>
      </w:r>
    </w:p>
    <w:p w14:paraId="670597F5" w14:textId="77777777" w:rsidR="00637847" w:rsidRPr="0007414B" w:rsidRDefault="00637847" w:rsidP="00637847">
      <w:pPr>
        <w:pStyle w:val="Bullet"/>
      </w:pPr>
      <w:r w:rsidRPr="0007414B">
        <w:t>almost 3 times as likely to report daily feelings of depression (9.8%) as the non-LGBT+ population (3.4%</w:t>
      </w:r>
      <w:r>
        <w:t>;</w:t>
      </w:r>
      <w:r w:rsidRPr="0007414B">
        <w:t xml:space="preserve"> </w:t>
      </w:r>
      <w:r w:rsidRPr="0007414B">
        <w:fldChar w:fldCharType="begin"/>
      </w:r>
      <w:r>
        <w:instrText xml:space="preserve"> ADDIN EN.CITE &lt;EndNote&gt;&lt;Cite&gt;&lt;Author&gt;Stats NZ&lt;/Author&gt;&lt;Year&gt;2022&lt;/Year&gt;&lt;RecNum&gt;352&lt;/RecNum&gt;&lt;DisplayText&gt;(Stats NZ 2022b)&lt;/DisplayText&gt;&lt;record&gt;&lt;rec-number&gt;352&lt;/rec-number&gt;&lt;foreign-keys&gt;&lt;key app="EN" db-id="aaepvppzs5wtfse95vsp2wahsrtvva2vvdet" timestamp="1684106671"&gt;352&lt;/key&gt;&lt;/foreign-keys&gt;&lt;ref-type name="Web Page"&gt;12&lt;/ref-type&gt;&lt;contributors&gt;&lt;authors&gt;&lt;author&gt;Stats NZ,&lt;/author&gt;&lt;/authors&gt;&lt;/contributors&gt;&lt;titles&gt;&lt;title&gt;LGBT+ population of Aotearoa: Year ended June 2021&lt;/title&gt;&lt;/titles&gt;&lt;number&gt;11 May 2023&lt;/number&gt;&lt;dates&gt;&lt;year&gt;2022&lt;/year&gt;&lt;/dates&gt;&lt;urls&gt;&lt;related-urls&gt;&lt;url&gt;www.stats.govt.nz/information-releases/lgbt-plus-population-of-aotearoa-year-ended-june-2021&lt;/url&gt;&lt;/related-urls&gt;&lt;/urls&gt;&lt;/record&gt;&lt;/Cite&gt;&lt;/EndNote&gt;</w:instrText>
      </w:r>
      <w:r w:rsidRPr="0007414B">
        <w:fldChar w:fldCharType="separate"/>
      </w:r>
      <w:r w:rsidRPr="0007414B">
        <w:rPr>
          <w:noProof/>
        </w:rPr>
        <w:t>Stats NZ 2022b)</w:t>
      </w:r>
      <w:r w:rsidRPr="0007414B">
        <w:fldChar w:fldCharType="end"/>
      </w:r>
      <w:r w:rsidRPr="0007414B">
        <w:t>.</w:t>
      </w:r>
    </w:p>
    <w:p w14:paraId="5CA38073" w14:textId="77777777" w:rsidR="00637847" w:rsidRPr="0007414B" w:rsidRDefault="00637847" w:rsidP="00637847">
      <w:pPr>
        <w:rPr>
          <w:rFonts w:eastAsia="Calibri Light"/>
        </w:rPr>
      </w:pPr>
    </w:p>
    <w:p w14:paraId="0783A295" w14:textId="77777777" w:rsidR="00637847" w:rsidRPr="0007414B" w:rsidRDefault="00637847" w:rsidP="00637847">
      <w:pPr>
        <w:rPr>
          <w:rFonts w:eastAsia="Calibri Light"/>
        </w:rPr>
      </w:pPr>
      <w:r w:rsidRPr="0007414B">
        <w:rPr>
          <w:rFonts w:eastAsia="Calibri Light"/>
        </w:rPr>
        <w:t>For the 3-year pooled period ending 2021/22, the Health Survey found higher rates of psychological distress among certain population groups:</w:t>
      </w:r>
    </w:p>
    <w:p w14:paraId="6000E9B2" w14:textId="77777777" w:rsidR="00637847" w:rsidRPr="0007414B" w:rsidRDefault="00637847" w:rsidP="00637847">
      <w:pPr>
        <w:pStyle w:val="Bullet"/>
      </w:pPr>
      <w:r w:rsidRPr="0007414B">
        <w:t>17.9% of young people aged 15–24 years experienced high or very high levels of psychological distress, up from 6.4% for the 3-year pooled period ending 2013/14, and for women in this age group the rate was even higher, at 23.6%</w:t>
      </w:r>
    </w:p>
    <w:p w14:paraId="1E123B04" w14:textId="77777777" w:rsidR="00637847" w:rsidRPr="0007414B" w:rsidRDefault="00637847" w:rsidP="00637847">
      <w:pPr>
        <w:pStyle w:val="Bullet"/>
      </w:pPr>
      <w:r w:rsidRPr="0007414B">
        <w:lastRenderedPageBreak/>
        <w:t>14.9% of adults living in the most socioeconomically deprived areas experienced psychological distress, compared with 6.5% in the least deprived areas</w:t>
      </w:r>
    </w:p>
    <w:p w14:paraId="3C6ECAC4" w14:textId="77777777" w:rsidR="00637847" w:rsidRPr="0007414B" w:rsidRDefault="00637847" w:rsidP="00637847">
      <w:pPr>
        <w:pStyle w:val="Bullet"/>
      </w:pPr>
      <w:r w:rsidRPr="0007414B">
        <w:t>29.2% of disabled adults experienced high or very high psychological distress, compared</w:t>
      </w:r>
      <w:r w:rsidRPr="0007414B" w:rsidDel="002E6099">
        <w:t xml:space="preserve"> </w:t>
      </w:r>
      <w:r w:rsidRPr="0007414B">
        <w:t xml:space="preserve">with 7.6% of non-disabled adults </w:t>
      </w:r>
      <w:r w:rsidRPr="0007414B">
        <w:fldChar w:fldCharType="begin"/>
      </w:r>
      <w:r w:rsidRPr="0007414B">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fldChar w:fldCharType="separate"/>
      </w:r>
      <w:r w:rsidRPr="0007414B">
        <w:t>(Manatū Hauora 2023a)</w:t>
      </w:r>
      <w:r w:rsidRPr="0007414B">
        <w:fldChar w:fldCharType="end"/>
      </w:r>
      <w:r w:rsidRPr="0007414B">
        <w:t>.</w:t>
      </w:r>
    </w:p>
    <w:p w14:paraId="79563A18" w14:textId="77777777" w:rsidR="004B1165" w:rsidRDefault="004B1165" w:rsidP="00637847"/>
    <w:p w14:paraId="0C3159B8" w14:textId="6EACD9BC" w:rsidR="00637847" w:rsidRPr="0007414B" w:rsidRDefault="00637847" w:rsidP="00637847">
      <w:r>
        <w:fldChar w:fldCharType="begin"/>
      </w:r>
      <w:r>
        <w:instrText xml:space="preserve"> REF _Ref133586419 \h </w:instrText>
      </w:r>
      <w:r>
        <w:fldChar w:fldCharType="separate"/>
      </w:r>
      <w:r w:rsidR="00BE208D">
        <w:t xml:space="preserve">Figure </w:t>
      </w:r>
      <w:r w:rsidR="00BE208D">
        <w:rPr>
          <w:noProof/>
        </w:rPr>
        <w:t>19</w:t>
      </w:r>
      <w:r>
        <w:fldChar w:fldCharType="end"/>
      </w:r>
      <w:r>
        <w:t xml:space="preserve"> </w:t>
      </w:r>
      <w:r w:rsidRPr="0007414B">
        <w:t>shows the percentage of high or very high psychological distress that men and women experienced in a 3-year rolling average. In the 3-year pooled period ending 2021/22, 11.2% of women reported high or very high psychological distress, compared with 7.6% of men. As we report above, the percentage of high or very high psychological distress was especially notable among younger women (aged 15–24 years).</w:t>
      </w:r>
    </w:p>
    <w:p w14:paraId="5C4B99D2" w14:textId="77777777" w:rsidR="00637847" w:rsidRPr="0007414B" w:rsidDel="00A05319" w:rsidRDefault="00637847" w:rsidP="004B1165"/>
    <w:p w14:paraId="5B58ED0C" w14:textId="5073F8CA" w:rsidR="00637847" w:rsidRPr="0007414B" w:rsidRDefault="00637847" w:rsidP="00637847">
      <w:pPr>
        <w:pStyle w:val="Figure"/>
      </w:pPr>
      <w:bookmarkStart w:id="90" w:name="_Ref133586419"/>
      <w:bookmarkStart w:id="91" w:name="_Toc138326961"/>
      <w:bookmarkStart w:id="92" w:name="_Toc138409942"/>
      <w:r>
        <w:t xml:space="preserve">Figure </w:t>
      </w:r>
      <w:fldSimple w:instr=" SEQ Figure \* ARABIC ">
        <w:r w:rsidR="00BE208D">
          <w:rPr>
            <w:noProof/>
          </w:rPr>
          <w:t>19</w:t>
        </w:r>
      </w:fldSimple>
      <w:bookmarkEnd w:id="90"/>
      <w:r>
        <w:t>: Percentage of people experiencing high or very high psychological distress, by gender, 3-year rolling average 2013/14–2021/22</w:t>
      </w:r>
      <w:bookmarkEnd w:id="91"/>
      <w:bookmarkEnd w:id="92"/>
    </w:p>
    <w:p w14:paraId="7D8AC471" w14:textId="77777777" w:rsidR="00637847" w:rsidRPr="0007414B" w:rsidRDefault="00637847" w:rsidP="00637847">
      <w:pPr>
        <w:pStyle w:val="li-key-points"/>
        <w:spacing w:before="60" w:beforeAutospacing="0" w:after="60" w:afterAutospacing="0"/>
        <w:rPr>
          <w:rFonts w:ascii="Segoe UI" w:eastAsia="Calibri Light" w:hAnsi="Segoe UI" w:cs="Segoe UI"/>
        </w:rPr>
      </w:pPr>
      <w:r w:rsidRPr="0007414B">
        <w:rPr>
          <w:noProof/>
        </w:rPr>
        <w:drawing>
          <wp:inline distT="0" distB="0" distL="0" distR="0" wp14:anchorId="1F1DACAB" wp14:editId="44229E53">
            <wp:extent cx="5108027" cy="2554014"/>
            <wp:effectExtent l="0" t="0" r="0" b="0"/>
            <wp:docPr id="1823296335" name="Picture 1823296335" descr="A line chart showing psychological distress between 2013/14 and 2021/22 by gender. Throughout the timeseries, females had higher percentage of psychological distress compared to males. Psychological distress has increased for both males and females. Along the x-axis of the chart, the years are presented as a 3-year rolling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5" name="Picture 1823296335" descr="A line chart showing psychological distress between 2013/14 and 2021/22 by gender. Throughout the timeseries, females had higher percentage of psychological distress compared to males. Psychological distress has increased for both males and females. Along the x-axis of the chart, the years are presented as a 3-year rolling average.&#1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15817" cy="2557909"/>
                    </a:xfrm>
                    <a:prstGeom prst="rect">
                      <a:avLst/>
                    </a:prstGeom>
                  </pic:spPr>
                </pic:pic>
              </a:graphicData>
            </a:graphic>
          </wp:inline>
        </w:drawing>
      </w:r>
    </w:p>
    <w:p w14:paraId="4F9F1025" w14:textId="77777777" w:rsidR="00637847" w:rsidRPr="005151DD" w:rsidRDefault="00637847" w:rsidP="00637847">
      <w:pPr>
        <w:pStyle w:val="Note"/>
        <w:rPr>
          <w:rFonts w:eastAsia="Calibri Light" w:cs="Segoe UI"/>
        </w:rPr>
      </w:pPr>
      <w:r w:rsidRPr="005151DD">
        <w:rPr>
          <w:rFonts w:eastAsia="Calibri Light" w:cs="Segoe UI"/>
        </w:rPr>
        <w:t>Note:</w:t>
      </w:r>
      <w:r w:rsidRPr="005151DD">
        <w:t xml:space="preserve"> </w:t>
      </w:r>
      <w:r>
        <w:t>E</w:t>
      </w:r>
      <w:r w:rsidRPr="005151DD">
        <w:t>rror bars represent 95% confidence intervals.</w:t>
      </w:r>
    </w:p>
    <w:p w14:paraId="243B4744" w14:textId="77777777" w:rsidR="00637847" w:rsidRPr="00637847" w:rsidRDefault="00637847" w:rsidP="00637847">
      <w:pPr>
        <w:pStyle w:val="Source"/>
        <w:rPr>
          <w:rStyle w:val="Hyperlink"/>
          <w:b w:val="0"/>
          <w:color w:val="auto"/>
        </w:rPr>
      </w:pPr>
      <w:r w:rsidRPr="00637847" w:rsidDel="00A05319">
        <w:rPr>
          <w:rFonts w:eastAsia="Calibri Light"/>
        </w:rPr>
        <w:t xml:space="preserve">Source: </w:t>
      </w:r>
      <w:hyperlink r:id="rId71" w:anchor="!/home" w:history="1">
        <w:r w:rsidRPr="00637847">
          <w:rPr>
            <w:rStyle w:val="Hyperlink"/>
          </w:rPr>
          <w:t>Manatū Hauora (2023a)</w:t>
        </w:r>
      </w:hyperlink>
    </w:p>
    <w:p w14:paraId="1129BDCB" w14:textId="77777777" w:rsidR="00637847" w:rsidRPr="0007414B" w:rsidRDefault="00637847" w:rsidP="00637847">
      <w:pPr>
        <w:spacing w:after="160" w:line="259" w:lineRule="auto"/>
        <w:rPr>
          <w:rFonts w:cs="Segoe UI"/>
          <w:color w:val="595959" w:themeColor="text1" w:themeTint="A6"/>
          <w:sz w:val="20"/>
        </w:rPr>
      </w:pPr>
      <w:r>
        <w:rPr>
          <w:rFonts w:cs="Segoe UI"/>
          <w:color w:val="595959" w:themeColor="text1" w:themeTint="A6"/>
          <w:sz w:val="20"/>
        </w:rPr>
        <w:br w:type="page"/>
      </w:r>
    </w:p>
    <w:p w14:paraId="0962D02B" w14:textId="158970F4" w:rsidR="00637847" w:rsidRPr="0007414B" w:rsidRDefault="00637847" w:rsidP="00637847">
      <w:r w:rsidRPr="0007414B">
        <w:lastRenderedPageBreak/>
        <w:fldChar w:fldCharType="begin"/>
      </w:r>
      <w:r w:rsidRPr="0007414B">
        <w:instrText xml:space="preserve"> REF _Ref131425092 \h  \* MERGEFORMAT </w:instrText>
      </w:r>
      <w:r w:rsidRPr="0007414B">
        <w:fldChar w:fldCharType="separate"/>
      </w:r>
      <w:r w:rsidR="00BE208D" w:rsidRPr="0007414B">
        <w:t xml:space="preserve">Figure </w:t>
      </w:r>
      <w:r w:rsidR="00BE208D">
        <w:t>20</w:t>
      </w:r>
      <w:r w:rsidRPr="0007414B">
        <w:fldChar w:fldCharType="end"/>
      </w:r>
      <w:r w:rsidRPr="0007414B">
        <w:t xml:space="preserve"> displays the percentage of high or very high psychological distress by ethnic group in a 3-year rolling average. In the 3-year pooled period ending 2021/22, 15.7% of Māori adults reported high or very high psychological distress, compared with 13.3% of Pacific adults, 9.3% of European/other adults and 6.7% of Asian adults. Among ethnic groups, the prevalence of high psychological distress over time was greatest for Māori and European/other adults.</w:t>
      </w:r>
    </w:p>
    <w:p w14:paraId="2ED8B6AC" w14:textId="77777777" w:rsidR="00637847" w:rsidRPr="0007414B" w:rsidRDefault="00637847" w:rsidP="00637847"/>
    <w:p w14:paraId="4AE4AF0A" w14:textId="13974748" w:rsidR="00637847" w:rsidRPr="0007414B" w:rsidRDefault="00637847" w:rsidP="00637847">
      <w:pPr>
        <w:pStyle w:val="Figure"/>
      </w:pPr>
      <w:bookmarkStart w:id="93" w:name="_Ref131425092"/>
      <w:bookmarkStart w:id="94" w:name="_Toc138326962"/>
      <w:bookmarkStart w:id="95" w:name="_Toc138409943"/>
      <w:r w:rsidRPr="0007414B">
        <w:t xml:space="preserve">Figure </w:t>
      </w:r>
      <w:r>
        <w:fldChar w:fldCharType="begin"/>
      </w:r>
      <w:r>
        <w:instrText>SEQ Figure \* ARABIC</w:instrText>
      </w:r>
      <w:r>
        <w:fldChar w:fldCharType="separate"/>
      </w:r>
      <w:r w:rsidR="00BE208D">
        <w:rPr>
          <w:noProof/>
        </w:rPr>
        <w:t>20</w:t>
      </w:r>
      <w:r>
        <w:fldChar w:fldCharType="end"/>
      </w:r>
      <w:bookmarkEnd w:id="93"/>
      <w:r w:rsidRPr="0007414B">
        <w:t>: Percentage of people experiencing high or very high psychological distress, by ethnic group, 3-year rolling average 2013/14–2021/22</w:t>
      </w:r>
      <w:bookmarkEnd w:id="94"/>
      <w:bookmarkEnd w:id="95"/>
    </w:p>
    <w:p w14:paraId="421BE235" w14:textId="77777777" w:rsidR="00637847" w:rsidRPr="0007414B" w:rsidRDefault="00637847" w:rsidP="00637847">
      <w:pPr>
        <w:pStyle w:val="li-key-points"/>
        <w:spacing w:before="60" w:beforeAutospacing="0" w:after="60" w:afterAutospacing="0"/>
        <w:rPr>
          <w:rFonts w:ascii="Segoe UI" w:eastAsia="Calibri Light" w:hAnsi="Segoe UI" w:cs="Segoe UI"/>
        </w:rPr>
      </w:pPr>
      <w:r w:rsidRPr="0007414B">
        <w:rPr>
          <w:noProof/>
        </w:rPr>
        <w:drawing>
          <wp:inline distT="0" distB="0" distL="0" distR="0" wp14:anchorId="544AD681" wp14:editId="6C793C0F">
            <wp:extent cx="5087007" cy="2543504"/>
            <wp:effectExtent l="0" t="0" r="0" b="9525"/>
            <wp:docPr id="1823296336" name="Picture 1823296336" descr="A series of four side-by-side timeseries line charts showing psychological distress (high or very high) by ethnic group, between 2013/2014 and 2021/2022. For the Māori and European/other ethnic groups, psychological distress increased though the timeseries. For the Pacific peoples and Asian ethnic groups, the changes throughout the timeseries all fall within the error bars. In final data point (2021/2022), psychological distress was highest for Māori and Pacific peoples, followed by European/other, and then Asian. Along the x-axes of the charts, the years are presented as a 3-year rolling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6" name="Picture 1823296336" descr="A series of four side-by-side timeseries line charts showing psychological distress (high or very high) by ethnic group, between 2013/2014 and 2021/2022. For the Māori and European/other ethnic groups, psychological distress increased though the timeseries. For the Pacific peoples and Asian ethnic groups, the changes throughout the timeseries all fall within the error bars. In final data point (2021/2022), psychological distress was highest for Māori and Pacific peoples, followed by European/other, and then Asian. Along the x-axes of the charts, the years are presented as a 3-year rolling average.&#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02297" cy="2551149"/>
                    </a:xfrm>
                    <a:prstGeom prst="rect">
                      <a:avLst/>
                    </a:prstGeom>
                  </pic:spPr>
                </pic:pic>
              </a:graphicData>
            </a:graphic>
          </wp:inline>
        </w:drawing>
      </w:r>
    </w:p>
    <w:p w14:paraId="42C1E159" w14:textId="77777777" w:rsidR="00637847" w:rsidRPr="00A05999" w:rsidRDefault="00637847" w:rsidP="00637847">
      <w:pPr>
        <w:pStyle w:val="Note"/>
        <w:rPr>
          <w:rFonts w:eastAsia="Calibri Light" w:cs="Segoe UI"/>
        </w:rPr>
      </w:pPr>
      <w:r w:rsidRPr="00A05999">
        <w:rPr>
          <w:rFonts w:eastAsia="Calibri Light" w:cs="Segoe UI"/>
        </w:rPr>
        <w:t>Note:</w:t>
      </w:r>
      <w:r w:rsidRPr="00A05999">
        <w:t xml:space="preserve"> </w:t>
      </w:r>
      <w:r>
        <w:t>E</w:t>
      </w:r>
      <w:r w:rsidRPr="00A05999">
        <w:t>rror bars represent 95% confidence intervals.</w:t>
      </w:r>
    </w:p>
    <w:p w14:paraId="22EEE1DC" w14:textId="77777777" w:rsidR="00637847" w:rsidRPr="00637847" w:rsidRDefault="00637847" w:rsidP="00637847">
      <w:pPr>
        <w:pStyle w:val="Source"/>
      </w:pPr>
      <w:r w:rsidRPr="00637847">
        <w:t xml:space="preserve">Source: </w:t>
      </w:r>
      <w:hyperlink r:id="rId73" w:anchor="!/home" w:history="1">
        <w:r w:rsidRPr="00637847">
          <w:rPr>
            <w:rStyle w:val="Hyperlink"/>
          </w:rPr>
          <w:t>Manatū Hauora (2023a)</w:t>
        </w:r>
      </w:hyperlink>
    </w:p>
    <w:p w14:paraId="415B762F" w14:textId="77777777" w:rsidR="00637847" w:rsidRDefault="00637847" w:rsidP="00637847">
      <w:pPr>
        <w:spacing w:after="160" w:line="259" w:lineRule="auto"/>
        <w:rPr>
          <w:rFonts w:eastAsia="Calibri Light" w:cs="Segoe UI"/>
          <w:sz w:val="24"/>
          <w:szCs w:val="24"/>
          <w:lang w:eastAsia="en-NZ"/>
        </w:rPr>
      </w:pPr>
      <w:r>
        <w:rPr>
          <w:rFonts w:eastAsia="Calibri Light" w:cs="Segoe UI"/>
        </w:rPr>
        <w:br w:type="page"/>
      </w:r>
    </w:p>
    <w:p w14:paraId="6CD1CAEE" w14:textId="4EBFBF5D" w:rsidR="00637847" w:rsidRPr="0007414B" w:rsidRDefault="00637847" w:rsidP="00637847">
      <w:pPr>
        <w:pStyle w:val="li-key-points"/>
        <w:shd w:val="clear" w:color="auto" w:fill="FFFFFF" w:themeFill="background1"/>
        <w:spacing w:before="60" w:beforeAutospacing="0" w:after="60" w:afterAutospacing="0"/>
        <w:rPr>
          <w:rFonts w:ascii="Segoe UI" w:eastAsia="Calibri Light" w:hAnsi="Segoe UI" w:cs="Segoe UI"/>
          <w:sz w:val="21"/>
          <w:szCs w:val="21"/>
          <w:lang w:eastAsia="en-GB"/>
        </w:rPr>
      </w:pPr>
      <w:r w:rsidRPr="0007414B">
        <w:rPr>
          <w:rFonts w:ascii="Segoe UI" w:eastAsia="Calibri Light" w:hAnsi="Segoe UI" w:cs="Segoe UI"/>
          <w:sz w:val="21"/>
          <w:szCs w:val="21"/>
          <w:lang w:eastAsia="en-GB"/>
        </w:rPr>
        <w:lastRenderedPageBreak/>
        <w:fldChar w:fldCharType="begin"/>
      </w:r>
      <w:r w:rsidRPr="0007414B">
        <w:rPr>
          <w:rFonts w:ascii="Segoe UI" w:eastAsia="Calibri Light" w:hAnsi="Segoe UI" w:cs="Segoe UI"/>
          <w:sz w:val="21"/>
          <w:szCs w:val="21"/>
          <w:lang w:eastAsia="en-GB"/>
        </w:rPr>
        <w:instrText xml:space="preserve"> REF _Ref131425834 \h  \* MERGEFORMAT </w:instrText>
      </w:r>
      <w:r w:rsidRPr="0007414B">
        <w:rPr>
          <w:rFonts w:ascii="Segoe UI" w:eastAsia="Calibri Light" w:hAnsi="Segoe UI" w:cs="Segoe UI"/>
          <w:sz w:val="21"/>
          <w:szCs w:val="21"/>
          <w:lang w:eastAsia="en-GB"/>
        </w:rPr>
      </w:r>
      <w:r w:rsidRPr="0007414B">
        <w:rPr>
          <w:rFonts w:ascii="Segoe UI" w:eastAsia="Calibri Light" w:hAnsi="Segoe UI" w:cs="Segoe UI"/>
          <w:sz w:val="21"/>
          <w:szCs w:val="21"/>
          <w:lang w:eastAsia="en-GB"/>
        </w:rPr>
        <w:fldChar w:fldCharType="separate"/>
      </w:r>
      <w:r w:rsidR="00BE208D" w:rsidRPr="00BE208D">
        <w:rPr>
          <w:rFonts w:ascii="Segoe UI" w:hAnsi="Segoe UI" w:cs="Segoe UI"/>
          <w:sz w:val="21"/>
          <w:szCs w:val="21"/>
        </w:rPr>
        <w:t>Figure 21</w:t>
      </w:r>
      <w:r w:rsidRPr="0007414B">
        <w:rPr>
          <w:rFonts w:ascii="Segoe UI" w:eastAsia="Calibri Light" w:hAnsi="Segoe UI" w:cs="Segoe UI"/>
          <w:sz w:val="21"/>
          <w:szCs w:val="21"/>
          <w:lang w:eastAsia="en-GB"/>
        </w:rPr>
        <w:fldChar w:fldCharType="end"/>
      </w:r>
      <w:r w:rsidRPr="0007414B">
        <w:rPr>
          <w:rFonts w:ascii="Segoe UI" w:eastAsia="Calibri Light" w:hAnsi="Segoe UI" w:cs="Segoe UI"/>
          <w:sz w:val="21"/>
          <w:szCs w:val="21"/>
          <w:lang w:eastAsia="en-GB"/>
        </w:rPr>
        <w:t xml:space="preserve"> displays the percentage of high or very high psychological distress by age group in a 3-year rolling average. In the 3-year pooled period ending 2021/22, 17.9% of young people aged 15–24 years experienced high or very high levels of psychological distress (up from 6.4% for the 3-year pooled period ending 2013/14). This compares</w:t>
      </w:r>
      <w:r w:rsidRPr="0007414B" w:rsidDel="00711208">
        <w:rPr>
          <w:rFonts w:ascii="Segoe UI" w:eastAsia="Calibri Light" w:hAnsi="Segoe UI" w:cs="Segoe UI"/>
          <w:sz w:val="21"/>
          <w:szCs w:val="21"/>
          <w:lang w:eastAsia="en-GB"/>
        </w:rPr>
        <w:t xml:space="preserve"> </w:t>
      </w:r>
      <w:r w:rsidRPr="0007414B">
        <w:rPr>
          <w:rFonts w:ascii="Segoe UI" w:eastAsia="Calibri Light" w:hAnsi="Segoe UI" w:cs="Segoe UI"/>
          <w:sz w:val="21"/>
          <w:szCs w:val="21"/>
          <w:lang w:eastAsia="en-GB"/>
        </w:rPr>
        <w:t>with the other age groups as follows: 12.1%, 25–34 years; 8.0%, 35–44 years; 8.4%,</w:t>
      </w:r>
      <w:r w:rsidRPr="0007414B" w:rsidDel="003F5CA7">
        <w:rPr>
          <w:rFonts w:ascii="Segoe UI" w:eastAsia="Calibri Light" w:hAnsi="Segoe UI" w:cs="Segoe UI"/>
          <w:sz w:val="21"/>
          <w:szCs w:val="21"/>
          <w:lang w:eastAsia="en-GB"/>
        </w:rPr>
        <w:t xml:space="preserve"> </w:t>
      </w:r>
      <w:r w:rsidRPr="0007414B">
        <w:rPr>
          <w:rFonts w:ascii="Segoe UI" w:eastAsia="Calibri Light" w:hAnsi="Segoe UI" w:cs="Segoe UI"/>
          <w:sz w:val="21"/>
          <w:szCs w:val="21"/>
          <w:lang w:eastAsia="en-GB"/>
        </w:rPr>
        <w:t>45–54 years; 7.2%,</w:t>
      </w:r>
      <w:r w:rsidRPr="0007414B" w:rsidDel="00CC5CEA">
        <w:rPr>
          <w:rFonts w:ascii="Segoe UI" w:eastAsia="Calibri Light" w:hAnsi="Segoe UI" w:cs="Segoe UI"/>
          <w:sz w:val="21"/>
          <w:szCs w:val="21"/>
          <w:lang w:eastAsia="en-GB"/>
        </w:rPr>
        <w:t xml:space="preserve"> </w:t>
      </w:r>
      <w:r w:rsidRPr="0007414B">
        <w:rPr>
          <w:rFonts w:ascii="Segoe UI" w:eastAsia="Calibri Light" w:hAnsi="Segoe UI" w:cs="Segoe UI"/>
          <w:sz w:val="21"/>
          <w:szCs w:val="21"/>
          <w:lang w:eastAsia="en-GB"/>
        </w:rPr>
        <w:t>55–64 years; 4.1%,</w:t>
      </w:r>
      <w:r w:rsidRPr="0007414B" w:rsidDel="00E97AF4">
        <w:rPr>
          <w:rFonts w:ascii="Segoe UI" w:eastAsia="Calibri Light" w:hAnsi="Segoe UI" w:cs="Segoe UI"/>
          <w:sz w:val="21"/>
          <w:szCs w:val="21"/>
          <w:lang w:eastAsia="en-GB"/>
        </w:rPr>
        <w:t xml:space="preserve"> </w:t>
      </w:r>
      <w:r w:rsidRPr="0007414B">
        <w:rPr>
          <w:rFonts w:ascii="Segoe UI" w:eastAsia="Calibri Light" w:hAnsi="Segoe UI" w:cs="Segoe UI"/>
          <w:sz w:val="21"/>
          <w:szCs w:val="21"/>
          <w:lang w:eastAsia="en-GB"/>
        </w:rPr>
        <w:t>65–74 years; and 3.6% for people aged 75 years and over.</w:t>
      </w:r>
    </w:p>
    <w:p w14:paraId="4762EED7" w14:textId="77777777" w:rsidR="00637847" w:rsidRPr="0007414B" w:rsidRDefault="00637847" w:rsidP="00637847">
      <w:pPr>
        <w:pStyle w:val="li-key-points"/>
        <w:shd w:val="clear" w:color="auto" w:fill="FFFFFF"/>
        <w:spacing w:before="60" w:beforeAutospacing="0" w:after="60" w:afterAutospacing="0"/>
        <w:rPr>
          <w:rFonts w:ascii="Segoe UI" w:eastAsia="Calibri Light" w:hAnsi="Segoe UI" w:cs="Segoe UI"/>
          <w:sz w:val="21"/>
          <w:szCs w:val="21"/>
          <w:lang w:eastAsia="en-GB"/>
        </w:rPr>
      </w:pPr>
    </w:p>
    <w:p w14:paraId="39719AFA" w14:textId="3E7DD74F" w:rsidR="00637847" w:rsidRPr="0007414B" w:rsidRDefault="00637847" w:rsidP="00637847">
      <w:pPr>
        <w:pStyle w:val="Figure"/>
      </w:pPr>
      <w:bookmarkStart w:id="96" w:name="_Ref131425834"/>
      <w:bookmarkStart w:id="97" w:name="_Toc138326963"/>
      <w:bookmarkStart w:id="98" w:name="_Toc138409944"/>
      <w:r>
        <w:t xml:space="preserve">Figure </w:t>
      </w:r>
      <w:fldSimple w:instr=" SEQ Figure \* ARABIC ">
        <w:r w:rsidR="00BE208D">
          <w:rPr>
            <w:noProof/>
          </w:rPr>
          <w:t>21</w:t>
        </w:r>
      </w:fldSimple>
      <w:bookmarkEnd w:id="96"/>
      <w:r>
        <w:t>: Percentage of people experiencing high or very high psychological distress, by age group, 3-year rolling average 2013/14–2021/22</w:t>
      </w:r>
      <w:bookmarkEnd w:id="97"/>
      <w:bookmarkEnd w:id="98"/>
    </w:p>
    <w:p w14:paraId="56533FBC" w14:textId="77777777" w:rsidR="00637847" w:rsidRPr="0007414B" w:rsidRDefault="00637847" w:rsidP="00637847">
      <w:pPr>
        <w:spacing w:after="160" w:line="259" w:lineRule="auto"/>
        <w:rPr>
          <w:rFonts w:cs="Segoe UI"/>
        </w:rPr>
      </w:pPr>
      <w:r w:rsidRPr="0007414B">
        <w:rPr>
          <w:noProof/>
        </w:rPr>
        <w:drawing>
          <wp:inline distT="0" distB="0" distL="0" distR="0" wp14:anchorId="566F3B6C" wp14:editId="77CA53DD">
            <wp:extent cx="5109882" cy="2553977"/>
            <wp:effectExtent l="0" t="0" r="0" b="0"/>
            <wp:docPr id="1823296338" name="Picture 1823296338" descr="A series of 7 side-by-side line charts showing the percentage of the population with psychological distress (high or very high) by age group between 2013/14 and 2021/22. Collectively, the series of charts, show that psychological distress has grown most among younger age groups, whereas among older age groups (65+), psychological distress has remained unchanged. Along the x-axes of the charts, the years are presented as a 3-year rolling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8" name="Picture 1823296338" descr="A series of 7 side-by-side line charts showing the percentage of the population with psychological distress (high or very high) by age group between 2013/14 and 2021/22. Collectively, the series of charts, show that psychological distress has grown most among younger age groups, whereas among older age groups (65+), psychological distress has remained unchanged. Along the x-axes of the charts, the years are presented as a 3-year rolling average.&#1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19124" cy="2558596"/>
                    </a:xfrm>
                    <a:prstGeom prst="rect">
                      <a:avLst/>
                    </a:prstGeom>
                  </pic:spPr>
                </pic:pic>
              </a:graphicData>
            </a:graphic>
          </wp:inline>
        </w:drawing>
      </w:r>
    </w:p>
    <w:p w14:paraId="52C1041C" w14:textId="77777777" w:rsidR="00637847" w:rsidRPr="00775E71" w:rsidRDefault="00637847" w:rsidP="00637847">
      <w:pPr>
        <w:pStyle w:val="Note"/>
        <w:rPr>
          <w:rFonts w:eastAsia="Calibri Light" w:cs="Segoe UI"/>
          <w:sz w:val="18"/>
          <w:szCs w:val="16"/>
        </w:rPr>
      </w:pPr>
      <w:r w:rsidRPr="00775E71">
        <w:rPr>
          <w:rFonts w:eastAsia="Calibri Light" w:cs="Segoe UI"/>
        </w:rPr>
        <w:t>Note:</w:t>
      </w:r>
      <w:r w:rsidRPr="00775E71">
        <w:t xml:space="preserve"> </w:t>
      </w:r>
      <w:r>
        <w:t>E</w:t>
      </w:r>
      <w:r w:rsidRPr="00775E71">
        <w:t>rror bars represent 95% confidence intervals.</w:t>
      </w:r>
    </w:p>
    <w:p w14:paraId="51C786D4" w14:textId="77777777" w:rsidR="00637847" w:rsidRPr="00637847" w:rsidRDefault="00637847" w:rsidP="00637847">
      <w:pPr>
        <w:pStyle w:val="Source"/>
      </w:pPr>
      <w:r w:rsidRPr="00637847">
        <w:t xml:space="preserve">Source: </w:t>
      </w:r>
      <w:hyperlink r:id="rId75" w:anchor="!/home" w:history="1">
        <w:r w:rsidRPr="00637847">
          <w:rPr>
            <w:rStyle w:val="Hyperlink"/>
          </w:rPr>
          <w:t>Manatū Hauora (2023a)</w:t>
        </w:r>
      </w:hyperlink>
    </w:p>
    <w:p w14:paraId="2A999F10" w14:textId="77777777" w:rsidR="00637847" w:rsidRDefault="00637847" w:rsidP="00637847">
      <w:pPr>
        <w:pStyle w:val="Heading4"/>
        <w:sectPr w:rsidR="00637847" w:rsidSect="00025EAD">
          <w:pgSz w:w="11907" w:h="16834" w:code="9"/>
          <w:pgMar w:top="1418" w:right="1701" w:bottom="1134" w:left="1843" w:header="284" w:footer="425" w:gutter="284"/>
          <w:cols w:space="720"/>
        </w:sectPr>
      </w:pPr>
    </w:p>
    <w:p w14:paraId="193EEA48" w14:textId="28003262" w:rsidR="00637847" w:rsidRPr="0007414B" w:rsidRDefault="00637847" w:rsidP="00637847">
      <w:pPr>
        <w:pStyle w:val="Heading4"/>
      </w:pPr>
      <w:r w:rsidRPr="0007414B">
        <w:lastRenderedPageBreak/>
        <w:t>Emotional and/or behavioural problems (children)</w:t>
      </w:r>
    </w:p>
    <w:p w14:paraId="1DAE961D" w14:textId="2D7B5B56" w:rsidR="00637847" w:rsidRDefault="00637847" w:rsidP="00637847">
      <w:pPr>
        <w:rPr>
          <w:rFonts w:cs="Segoe UI"/>
        </w:rPr>
      </w:pPr>
      <w:r w:rsidRPr="0007414B">
        <w:rPr>
          <w:rFonts w:cs="Segoe UI"/>
        </w:rPr>
        <w:t>According to the Health Survey,</w:t>
      </w:r>
      <w:r w:rsidRPr="0007414B">
        <w:rPr>
          <w:rFonts w:eastAsia="Calibri Light" w:cs="Segoe UI"/>
        </w:rPr>
        <w:t xml:space="preserve"> in the 3-year pooled period ending 2021/22</w:t>
      </w:r>
      <w:r w:rsidRPr="0007414B">
        <w:rPr>
          <w:rFonts w:cs="Segoe UI"/>
        </w:rPr>
        <w:t>, 6.0% of children (aged 2–14 years) have emotional or behavioural problems</w:t>
      </w:r>
      <w:r w:rsidRPr="0007414B">
        <w:rPr>
          <w:rStyle w:val="FootnoteReference"/>
          <w:rFonts w:cs="Segoe UI"/>
        </w:rPr>
        <w:footnoteReference w:id="12"/>
      </w:r>
      <w:r w:rsidRPr="0007414B">
        <w:rPr>
          <w:rFonts w:cs="Segoe UI"/>
        </w:rPr>
        <w:t xml:space="preserve"> </w:t>
      </w:r>
      <w:r w:rsidRPr="0007414B">
        <w:rPr>
          <w:rFonts w:cs="Segoe UI"/>
        </w:rPr>
        <w:fldChar w:fldCharType="begin"/>
      </w:r>
      <w:r w:rsidRPr="0007414B">
        <w:rPr>
          <w:rFonts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cs="Segoe UI"/>
        </w:rPr>
        <w:fldChar w:fldCharType="separate"/>
      </w:r>
      <w:r w:rsidRPr="0007414B">
        <w:rPr>
          <w:rFonts w:cs="Segoe UI"/>
        </w:rPr>
        <w:t>(Manatū Hauora 2023a)</w:t>
      </w:r>
      <w:r w:rsidRPr="0007414B">
        <w:rPr>
          <w:rFonts w:cs="Segoe UI"/>
        </w:rPr>
        <w:fldChar w:fldCharType="end"/>
      </w:r>
      <w:r w:rsidRPr="0007414B">
        <w:rPr>
          <w:rFonts w:cs="Segoe UI"/>
        </w:rPr>
        <w:t xml:space="preserve">. The percentage of boys with emotional or behavioural problems was higher at 7.8%, than for girls at 4.0%. </w:t>
      </w:r>
    </w:p>
    <w:p w14:paraId="706BCDA7" w14:textId="77777777" w:rsidR="00637847" w:rsidRPr="0007414B" w:rsidRDefault="00637847" w:rsidP="00637847">
      <w:pPr>
        <w:rPr>
          <w:rFonts w:cs="Segoe UI"/>
        </w:rPr>
      </w:pPr>
    </w:p>
    <w:p w14:paraId="66404698" w14:textId="0E564820" w:rsidR="00637847" w:rsidRPr="0007414B" w:rsidRDefault="00637847" w:rsidP="00637847">
      <w:pPr>
        <w:rPr>
          <w:rFonts w:cs="Segoe UI"/>
        </w:rPr>
      </w:pPr>
      <w:r>
        <w:rPr>
          <w:rFonts w:cs="Segoe UI"/>
        </w:rPr>
        <w:fldChar w:fldCharType="begin"/>
      </w:r>
      <w:r>
        <w:rPr>
          <w:rFonts w:cs="Segoe UI"/>
        </w:rPr>
        <w:instrText xml:space="preserve"> REF _Ref138405547 \h </w:instrText>
      </w:r>
      <w:r>
        <w:rPr>
          <w:rFonts w:cs="Segoe UI"/>
        </w:rPr>
      </w:r>
      <w:r>
        <w:rPr>
          <w:rFonts w:cs="Segoe UI"/>
        </w:rPr>
        <w:fldChar w:fldCharType="separate"/>
      </w:r>
      <w:r w:rsidR="00BE208D" w:rsidRPr="0007414B">
        <w:t xml:space="preserve">Figure </w:t>
      </w:r>
      <w:r w:rsidR="00BE208D">
        <w:rPr>
          <w:noProof/>
        </w:rPr>
        <w:t>22</w:t>
      </w:r>
      <w:r>
        <w:rPr>
          <w:rFonts w:cs="Segoe UI"/>
        </w:rPr>
        <w:fldChar w:fldCharType="end"/>
      </w:r>
      <w:r>
        <w:rPr>
          <w:rFonts w:cs="Segoe UI"/>
        </w:rPr>
        <w:t xml:space="preserve"> </w:t>
      </w:r>
      <w:r w:rsidRPr="0007414B">
        <w:rPr>
          <w:rFonts w:cs="Segoe UI"/>
        </w:rPr>
        <w:t xml:space="preserve">shows the percentage of children reported to have emotional and/or behavioural problems, by ethnic group. For the 3-year pooled period ending 2021/22, Asian children consistently had the lowest rates of reported emotional and/or behavioural problems at 1.4%, compared with Māori children at 6.4%, Pacific children at 5.0% and European/other children at 7.4%.  </w:t>
      </w:r>
    </w:p>
    <w:p w14:paraId="4AE112A7" w14:textId="77777777" w:rsidR="00637847" w:rsidRPr="0007414B" w:rsidRDefault="00637847" w:rsidP="00637847">
      <w:pPr>
        <w:spacing w:after="160" w:line="259" w:lineRule="auto"/>
        <w:rPr>
          <w:rFonts w:cs="Segoe UI"/>
          <w:color w:val="595959" w:themeColor="text1" w:themeTint="A6"/>
          <w:sz w:val="20"/>
          <w:szCs w:val="18"/>
        </w:rPr>
      </w:pPr>
      <w:bookmarkStart w:id="99" w:name="_Ref132106453"/>
    </w:p>
    <w:p w14:paraId="37957DEA" w14:textId="68BA2570" w:rsidR="00637847" w:rsidRPr="0007414B" w:rsidRDefault="00637847" w:rsidP="00637847">
      <w:pPr>
        <w:pStyle w:val="Figure"/>
      </w:pPr>
      <w:bookmarkStart w:id="100" w:name="_Ref138405547"/>
      <w:bookmarkStart w:id="101" w:name="_Toc138326964"/>
      <w:bookmarkStart w:id="102" w:name="_Toc138409945"/>
      <w:r w:rsidRPr="0007414B">
        <w:t xml:space="preserve">Figure </w:t>
      </w:r>
      <w:r>
        <w:fldChar w:fldCharType="begin"/>
      </w:r>
      <w:r>
        <w:instrText>SEQ Figure \* ARABIC</w:instrText>
      </w:r>
      <w:r>
        <w:fldChar w:fldCharType="separate"/>
      </w:r>
      <w:r w:rsidR="00BE208D">
        <w:rPr>
          <w:noProof/>
        </w:rPr>
        <w:t>22</w:t>
      </w:r>
      <w:r>
        <w:fldChar w:fldCharType="end"/>
      </w:r>
      <w:bookmarkEnd w:id="99"/>
      <w:bookmarkEnd w:id="100"/>
      <w:r w:rsidRPr="0007414B">
        <w:t xml:space="preserve">: </w:t>
      </w:r>
      <w:r>
        <w:t>Percentage of children aged 2–14 years experiencing e</w:t>
      </w:r>
      <w:r w:rsidRPr="0007414B">
        <w:t>motional and/or behavioural problems</w:t>
      </w:r>
      <w:r w:rsidDel="00F77D90">
        <w:t xml:space="preserve">, </w:t>
      </w:r>
      <w:r w:rsidRPr="0007414B">
        <w:t xml:space="preserve">by ethnic group, </w:t>
      </w:r>
      <w:r>
        <w:t>3</w:t>
      </w:r>
      <w:r w:rsidRPr="0007414B">
        <w:noBreakHyphen/>
        <w:t>year rolling average 2013/14</w:t>
      </w:r>
      <w:r>
        <w:t>–</w:t>
      </w:r>
      <w:r w:rsidRPr="0007414B">
        <w:t>2021/22</w:t>
      </w:r>
      <w:bookmarkEnd w:id="101"/>
      <w:bookmarkEnd w:id="102"/>
    </w:p>
    <w:p w14:paraId="7D0C4D66" w14:textId="77777777" w:rsidR="00637847" w:rsidRPr="0007414B" w:rsidRDefault="00637847" w:rsidP="00637847">
      <w:pPr>
        <w:rPr>
          <w:rFonts w:cs="Segoe UI"/>
        </w:rPr>
      </w:pPr>
      <w:r w:rsidRPr="0007414B">
        <w:rPr>
          <w:noProof/>
        </w:rPr>
        <w:drawing>
          <wp:inline distT="0" distB="0" distL="0" distR="0" wp14:anchorId="46ADAD5D" wp14:editId="7A9E4AC3">
            <wp:extent cx="5111258" cy="2555630"/>
            <wp:effectExtent l="0" t="0" r="0" b="0"/>
            <wp:docPr id="1823296339" name="Picture 1823296339" descr="A series of four side-by-side line charts showing emotional and/or behavioural problems for children aged 2–14 years by ethnic group, between 2013/2014, 2017/2018 and 2021/2022. For the Māori and Asian ethnic groups, there is no change in the percentage of children showing emotional and/or behavioural problems at the start of the timeseries compared to the end of the timeseries; the points at the start of the timeseries fall within the error bars at the end. For the European/other and Pacific peoples ethnic groups, there is an increase in the percentage of children showing emotional and/or behavioural problems. In the final data point in the timeseries (2021/2022), Māori, Pacific peoples, and European had the highest percentage of children showing emotional and behavioural problems, followed by As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39" name="Picture 1823296339" descr="A series of four side-by-side line charts showing emotional and/or behavioural problems for children aged 2–14 years by ethnic group, between 2013/2014, 2017/2018 and 2021/2022. For the Māori and Asian ethnic groups, there is no change in the percentage of children showing emotional and/or behavioural problems at the start of the timeseries compared to the end of the timeseries; the points at the start of the timeseries fall within the error bars at the end. For the European/other and Pacific peoples ethnic groups, there is an increase in the percentage of children showing emotional and/or behavioural problems. In the final data point in the timeseries (2021/2022), Māori, Pacific peoples, and European had the highest percentage of children showing emotional and behavioural problems, followed by Asian.&#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125156" cy="2562579"/>
                    </a:xfrm>
                    <a:prstGeom prst="rect">
                      <a:avLst/>
                    </a:prstGeom>
                  </pic:spPr>
                </pic:pic>
              </a:graphicData>
            </a:graphic>
          </wp:inline>
        </w:drawing>
      </w:r>
    </w:p>
    <w:p w14:paraId="5C0248A0" w14:textId="77777777" w:rsidR="00637847" w:rsidRPr="00C34C6E" w:rsidRDefault="00637847" w:rsidP="00637847">
      <w:pPr>
        <w:pStyle w:val="Note"/>
        <w:rPr>
          <w:rFonts w:eastAsia="Calibri Light" w:cs="Segoe UI"/>
        </w:rPr>
      </w:pPr>
      <w:r w:rsidRPr="00C34C6E">
        <w:rPr>
          <w:rFonts w:eastAsia="Calibri Light" w:cs="Segoe UI"/>
        </w:rPr>
        <w:t>Note:</w:t>
      </w:r>
      <w:r w:rsidRPr="00C34C6E">
        <w:t xml:space="preserve"> </w:t>
      </w:r>
      <w:r>
        <w:t>E</w:t>
      </w:r>
      <w:r w:rsidRPr="00C34C6E">
        <w:t>rror bars represent 95% confidence intervals.</w:t>
      </w:r>
    </w:p>
    <w:p w14:paraId="5EA904A7" w14:textId="77777777" w:rsidR="00637847" w:rsidRPr="00637847" w:rsidRDefault="00637847" w:rsidP="00637847">
      <w:pPr>
        <w:pStyle w:val="Source"/>
      </w:pPr>
      <w:r w:rsidRPr="00637847">
        <w:t xml:space="preserve">Source: </w:t>
      </w:r>
      <w:hyperlink r:id="rId77" w:anchor="!/home" w:history="1">
        <w:r w:rsidRPr="00637847">
          <w:rPr>
            <w:rStyle w:val="Hyperlink"/>
          </w:rPr>
          <w:t>Manatū Hauora (2023a)</w:t>
        </w:r>
      </w:hyperlink>
    </w:p>
    <w:p w14:paraId="32B8B820" w14:textId="77777777" w:rsidR="00637847" w:rsidRPr="0007414B" w:rsidRDefault="00637847" w:rsidP="00637847">
      <w:pPr>
        <w:pStyle w:val="Heading4"/>
      </w:pPr>
      <w:r w:rsidRPr="0007414B">
        <w:t>Unmet need for mental health or addiction services</w:t>
      </w:r>
    </w:p>
    <w:p w14:paraId="737C76F1" w14:textId="77777777" w:rsidR="00637847" w:rsidRPr="0007414B" w:rsidRDefault="00637847" w:rsidP="00637847">
      <w:pPr>
        <w:rPr>
          <w:rFonts w:eastAsia="DengXian Light" w:cs="Segoe UI"/>
        </w:rPr>
      </w:pPr>
      <w:r w:rsidRPr="0007414B">
        <w:rPr>
          <w:rFonts w:eastAsia="DengXian Light" w:cs="Segoe UI"/>
        </w:rPr>
        <w:t xml:space="preserve">Among adults, unmet need for mental health or addiction services is defined as feeling like you needed professional help for your emotions, stress, mental health or substance use in the past 12 months, but did not receive that help </w:t>
      </w:r>
      <w:r w:rsidRPr="0007414B">
        <w:rPr>
          <w:rFonts w:eastAsia="DengXian Light" w:cs="Segoe UI"/>
        </w:rPr>
        <w:fldChar w:fldCharType="begin"/>
      </w:r>
      <w:r>
        <w:rPr>
          <w:rFonts w:eastAsia="DengXian Light" w:cs="Segoe UI"/>
        </w:rPr>
        <w:instrText xml:space="preserve"> ADDIN EN.CITE &lt;EndNote&gt;&lt;Cite&gt;&lt;Author&gt;Manatū Hauora&lt;/Author&gt;&lt;Year&gt;2022&lt;/Year&gt;&lt;RecNum&gt;376&lt;/RecNum&gt;&lt;DisplayText&gt;(Manatū Hauora 2022l)&lt;/DisplayText&gt;&lt;record&gt;&lt;rec-number&gt;376&lt;/rec-number&gt;&lt;foreign-keys&gt;&lt;key app="EN" db-id="aaepvppzs5wtfse95vsp2wahsrtvva2vvdet" timestamp="1684375078"&gt;376&lt;/key&gt;&lt;/foreign-keys&gt;&lt;ref-type name="Web Page"&gt;12&lt;/ref-type&gt;&lt;contributors&gt;&lt;authors&gt;&lt;author&gt;&lt;style face="normal" font="default" size="100%"&gt;Manat&lt;/style&gt;&lt;style face="normal" font="default" charset="238" size="100%"&gt;ū Hauora,&lt;/style&gt;&lt;/author&gt;&lt;/authors&gt;&lt;/contributors&gt;&lt;titles&gt;&lt;title&gt;Questionnaires and Content Guide 2021/22: New Zealand Health Survey&lt;/title&gt;&lt;/titles&gt;&lt;number&gt;18 May 2023&lt;/number&gt;&lt;dates&gt;&lt;year&gt;2022&lt;/year&gt;&lt;/dates&gt;&lt;urls&gt;&lt;related-urls&gt;&lt;url&gt;www.health.govt.nz/publication/questionnaires-and-content-guide-2021-22-new-zealand-health-surve&lt;/url&gt;&lt;/related-urls&gt;&lt;/urls&gt;&lt;/record&gt;&lt;/Cite&gt;&lt;/EndNote&gt;</w:instrText>
      </w:r>
      <w:r w:rsidRPr="0007414B">
        <w:rPr>
          <w:rFonts w:eastAsia="DengXian Light" w:cs="Segoe UI"/>
        </w:rPr>
        <w:fldChar w:fldCharType="separate"/>
      </w:r>
      <w:r w:rsidRPr="0007414B">
        <w:rPr>
          <w:rFonts w:eastAsia="DengXian Light" w:cs="Segoe UI"/>
          <w:noProof/>
        </w:rPr>
        <w:t>(Manatū Hauora 2022l)</w:t>
      </w:r>
      <w:r w:rsidRPr="0007414B">
        <w:rPr>
          <w:rFonts w:eastAsia="DengXian Light" w:cs="Segoe UI"/>
        </w:rPr>
        <w:fldChar w:fldCharType="end"/>
      </w:r>
      <w:r w:rsidRPr="0007414B">
        <w:rPr>
          <w:rFonts w:eastAsia="DengXian Light" w:cs="Segoe UI"/>
        </w:rPr>
        <w:t>.</w:t>
      </w:r>
    </w:p>
    <w:p w14:paraId="08EBFB28" w14:textId="77777777" w:rsidR="00637847" w:rsidRPr="0007414B" w:rsidRDefault="00637847" w:rsidP="00637847">
      <w:pPr>
        <w:rPr>
          <w:rFonts w:eastAsia="DengXian Light" w:cs="Segoe UI"/>
        </w:rPr>
      </w:pPr>
    </w:p>
    <w:p w14:paraId="600EEDE5" w14:textId="77777777" w:rsidR="00637847" w:rsidRPr="0007414B" w:rsidRDefault="00637847" w:rsidP="00637847">
      <w:pPr>
        <w:rPr>
          <w:rFonts w:eastAsia="DengXian Light" w:cs="Segoe UI"/>
        </w:rPr>
      </w:pPr>
      <w:bookmarkStart w:id="103" w:name="_Hlk133824975"/>
      <w:r w:rsidRPr="0007414B">
        <w:rPr>
          <w:rFonts w:eastAsia="DengXian Light" w:cs="Segoe UI"/>
        </w:rPr>
        <w:t>For the single year of 2021/22, the Health Survey found the following rates of unmet need for mental health or addiction services.</w:t>
      </w:r>
    </w:p>
    <w:p w14:paraId="37C94528" w14:textId="77777777" w:rsidR="00637847" w:rsidRPr="0007414B" w:rsidRDefault="00637847" w:rsidP="00637847">
      <w:pPr>
        <w:pStyle w:val="Bullet"/>
      </w:pPr>
      <w:r w:rsidRPr="0007414B">
        <w:t>Overall, 8.8% of adults reported an unmet need for mental health or addiction services. This included 7.1% of men and 10.5% of women.</w:t>
      </w:r>
    </w:p>
    <w:p w14:paraId="3F6ED6A3" w14:textId="77777777" w:rsidR="00637847" w:rsidRPr="0007414B" w:rsidRDefault="00637847" w:rsidP="00637847">
      <w:pPr>
        <w:pStyle w:val="Bullet"/>
      </w:pPr>
      <w:r w:rsidRPr="0007414B">
        <w:t>Māori (12.9%) and Pacific (12.9%) adults had higher rates of unmet need</w:t>
      </w:r>
      <w:r w:rsidRPr="0007414B" w:rsidDel="009D4E90">
        <w:t xml:space="preserve"> </w:t>
      </w:r>
      <w:r w:rsidRPr="0007414B">
        <w:t>than European/other (9.4%) and Asian (6.2%) adults.</w:t>
      </w:r>
    </w:p>
    <w:p w14:paraId="1A2D1385" w14:textId="77777777" w:rsidR="00637847" w:rsidRPr="0007414B" w:rsidRDefault="00637847" w:rsidP="00637847">
      <w:pPr>
        <w:pStyle w:val="Bullet"/>
      </w:pPr>
      <w:r w:rsidRPr="0007414B">
        <w:lastRenderedPageBreak/>
        <w:t>Disabled adults (18.7%) had higher rates of unmet need than non-disabled adults (7.9%).</w:t>
      </w:r>
    </w:p>
    <w:p w14:paraId="4E5282CC" w14:textId="77777777" w:rsidR="00637847" w:rsidRPr="0007414B" w:rsidRDefault="00637847" w:rsidP="00637847">
      <w:pPr>
        <w:pStyle w:val="Bullet"/>
      </w:pPr>
      <w:r w:rsidRPr="0007414B">
        <w:t>People living in the most deprived areas had higher rates of unmet need (11.7%) than people living in the least deprived areas (6.1%</w:t>
      </w:r>
      <w:r>
        <w:t>;</w:t>
      </w:r>
      <w:r w:rsidRPr="0007414B">
        <w:t xml:space="preserve"> </w:t>
      </w:r>
      <w:r w:rsidRPr="0007414B">
        <w:fldChar w:fldCharType="begin"/>
      </w:r>
      <w:r w:rsidRPr="0007414B">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fldChar w:fldCharType="separate"/>
      </w:r>
      <w:r w:rsidRPr="0007414B">
        <w:t>Manatū Hauora 2023a)</w:t>
      </w:r>
      <w:r w:rsidRPr="0007414B">
        <w:fldChar w:fldCharType="end"/>
      </w:r>
      <w:r w:rsidRPr="0007414B">
        <w:t>.</w:t>
      </w:r>
    </w:p>
    <w:bookmarkEnd w:id="103"/>
    <w:p w14:paraId="14206F59" w14:textId="77777777" w:rsidR="00637847" w:rsidRPr="0007414B" w:rsidRDefault="00637847" w:rsidP="00637847">
      <w:pPr>
        <w:pStyle w:val="Heading4"/>
      </w:pPr>
      <w:r w:rsidRPr="0007414B">
        <w:t>Suicide</w:t>
      </w:r>
    </w:p>
    <w:p w14:paraId="3B5C5BE9" w14:textId="77777777" w:rsidR="00637847" w:rsidRPr="0007414B" w:rsidRDefault="00637847" w:rsidP="00637847">
      <w:pPr>
        <w:rPr>
          <w:rFonts w:eastAsia="DengXian Light"/>
        </w:rPr>
      </w:pPr>
      <w:r w:rsidRPr="0007414B">
        <w:rPr>
          <w:rFonts w:eastAsia="DengXian Light"/>
        </w:rPr>
        <w:t>In the year ending 30 June 2022, 538 people died by suspected suicide</w:t>
      </w:r>
      <w:r w:rsidRPr="0007414B">
        <w:rPr>
          <w:rStyle w:val="FootnoteReference"/>
          <w:rFonts w:eastAsia="DengXian Light" w:cs="Segoe UI"/>
          <w:szCs w:val="21"/>
        </w:rPr>
        <w:footnoteReference w:id="13"/>
      </w:r>
      <w:r w:rsidRPr="0007414B">
        <w:rPr>
          <w:rFonts w:eastAsia="DengXian Light"/>
        </w:rPr>
        <w:t xml:space="preserve"> </w:t>
      </w:r>
      <w:r w:rsidRPr="0007414B">
        <w:rPr>
          <w:rFonts w:eastAsia="DengXian Light"/>
        </w:rPr>
        <w:fldChar w:fldCharType="begin"/>
      </w:r>
      <w:r w:rsidRPr="0007414B">
        <w:rPr>
          <w:rFonts w:eastAsia="DengXian Light"/>
        </w:rPr>
        <w:instrText xml:space="preserve"> ADDIN EN.CITE &lt;EndNote&gt;&lt;Cite&gt;&lt;Author&gt;Te Whatu Ora&lt;/Author&gt;&lt;Year&gt;2022&lt;/Year&gt;&lt;RecNum&gt;38&lt;/RecNum&gt;&lt;DisplayText&gt;(Te Whatu Ora 2022)&lt;/DisplayText&gt;&lt;record&gt;&lt;rec-number&gt;38&lt;/rec-number&gt;&lt;foreign-keys&gt;&lt;key app="EN" db-id="aaepvppzs5wtfse95vsp2wahsrtvva2vvdet" timestamp="1632288648"&gt;38&lt;/key&gt;&lt;/foreign-keys&gt;&lt;ref-type name="Web Page"&gt;12&lt;/ref-type&gt;&lt;contributors&gt;&lt;authors&gt;&lt;author&gt;Te Whatu Ora,&lt;/author&gt;&lt;/authors&gt;&lt;/contributors&gt;&lt;titles&gt;&lt;title&gt;Suicide web tool (Data file)&lt;/title&gt;&lt;/titles&gt;&lt;number&gt;15 April 2023&lt;/number&gt;&lt;dates&gt;&lt;year&gt;2022&lt;/year&gt;&lt;/dates&gt;&lt;urls&gt;&lt;related-urls&gt;&lt;url&gt;https://tewhatuora.shinyapps.io/suicide-web-tool/&lt;/url&gt;&lt;/related-urls&gt;&lt;/urls&gt;&lt;/record&gt;&lt;/Cite&gt;&lt;/EndNote&gt;</w:instrText>
      </w:r>
      <w:r w:rsidRPr="0007414B">
        <w:rPr>
          <w:rFonts w:eastAsia="DengXian Light"/>
        </w:rPr>
        <w:fldChar w:fldCharType="separate"/>
      </w:r>
      <w:r w:rsidRPr="0007414B">
        <w:rPr>
          <w:rFonts w:eastAsia="DengXian Light"/>
        </w:rPr>
        <w:t>(Te Whatu Ora 2022)</w:t>
      </w:r>
      <w:r w:rsidRPr="0007414B">
        <w:rPr>
          <w:rFonts w:eastAsia="DengXian Light"/>
        </w:rPr>
        <w:fldChar w:fldCharType="end"/>
      </w:r>
      <w:r w:rsidRPr="0007414B">
        <w:rPr>
          <w:rFonts w:eastAsia="DengXian Light"/>
        </w:rPr>
        <w:t>. The total provisional suspected suicide rate was 10.2 per 100,000 population. However, within that rate, considerable differences between ethnic groups are evident.</w:t>
      </w:r>
    </w:p>
    <w:p w14:paraId="613EC46C" w14:textId="77777777" w:rsidR="00637847" w:rsidRPr="0007414B" w:rsidRDefault="00637847" w:rsidP="00637847">
      <w:pPr>
        <w:pStyle w:val="Bullet"/>
      </w:pPr>
      <w:r w:rsidRPr="0007414B">
        <w:t>Suicide among Māori continues to be disproportionately high. The provisional rate of suspected suicide for Māori was 15.9 per 100,000 Māori.</w:t>
      </w:r>
    </w:p>
    <w:p w14:paraId="400247B7" w14:textId="77777777" w:rsidR="00637847" w:rsidRPr="0007414B" w:rsidRDefault="00637847" w:rsidP="00637847">
      <w:pPr>
        <w:pStyle w:val="Bullet"/>
      </w:pPr>
      <w:r w:rsidRPr="0007414B">
        <w:t>The rate for Pacific peoples was also higher, at 9.9 per 100,000 Pacific peoples.</w:t>
      </w:r>
    </w:p>
    <w:p w14:paraId="32860136" w14:textId="77777777" w:rsidR="00637847" w:rsidRPr="0007414B" w:rsidRDefault="00637847" w:rsidP="00637847">
      <w:pPr>
        <w:pStyle w:val="Bullet"/>
      </w:pPr>
      <w:r w:rsidRPr="0007414B">
        <w:t xml:space="preserve">The rate for the Asian population was 3.8 per 100,000 Asian peoples </w:t>
      </w:r>
      <w:r w:rsidRPr="0007414B">
        <w:fldChar w:fldCharType="begin"/>
      </w:r>
      <w:r w:rsidRPr="0007414B">
        <w:instrText xml:space="preserve"> ADDIN EN.CITE &lt;EndNote&gt;&lt;Cite&gt;&lt;Author&gt;Coronial Services of New Zealand&lt;/Author&gt;&lt;Year&gt;2022&lt;/Year&gt;&lt;RecNum&gt;301&lt;/RecNum&gt;&lt;DisplayText&gt;(Coronial Services of New Zealand 2022)&lt;/DisplayText&gt;&lt;record&gt;&lt;rec-number&gt;301&lt;/rec-number&gt;&lt;foreign-keys&gt;&lt;key app="EN" db-id="aaepvppzs5wtfse95vsp2wahsrtvva2vvdet" timestamp="1683253820"&gt;301&lt;/key&gt;&lt;/foreign-keys&gt;&lt;ref-type name="Web Page"&gt;12&lt;/ref-type&gt;&lt;contributors&gt;&lt;authors&gt;&lt;author&gt;Coronial Services of New Zealand,&lt;/author&gt;&lt;/authors&gt;&lt;/contributors&gt;&lt;titles&gt;&lt;title&gt;Deputy chief coroner releases annual provisional suicide statistics&lt;/title&gt;&lt;/titles&gt;&lt;number&gt;5 May 2023&lt;/number&gt;&lt;dates&gt;&lt;year&gt;2022&lt;/year&gt;&lt;/dates&gt;&lt;urls&gt;&lt;related-urls&gt;&lt;url&gt;https://coronialservices.justice.govt.nz/assets/Media-release-Deputy-Chief-Coroner-251022.pdf&lt;/url&gt;&lt;/related-urls&gt;&lt;/urls&gt;&lt;/record&gt;&lt;/Cite&gt;&lt;/EndNote&gt;</w:instrText>
      </w:r>
      <w:r w:rsidRPr="0007414B">
        <w:fldChar w:fldCharType="separate"/>
      </w:r>
      <w:r w:rsidRPr="0007414B">
        <w:t>(Coronial Services of New Zealand 2022)</w:t>
      </w:r>
      <w:r w:rsidRPr="0007414B">
        <w:fldChar w:fldCharType="end"/>
      </w:r>
      <w:r w:rsidRPr="0007414B">
        <w:t>.</w:t>
      </w:r>
    </w:p>
    <w:p w14:paraId="59E94444" w14:textId="77777777" w:rsidR="00637847" w:rsidRPr="0007414B" w:rsidRDefault="00637847" w:rsidP="00395CB9">
      <w:pPr>
        <w:rPr>
          <w:rFonts w:eastAsia="DengXian Light"/>
        </w:rPr>
      </w:pPr>
    </w:p>
    <w:p w14:paraId="64ECC1C3" w14:textId="5D9D3B0E" w:rsidR="00637847" w:rsidRDefault="00637847" w:rsidP="00395CB9">
      <w:pPr>
        <w:rPr>
          <w:rFonts w:eastAsia="DengXian Light"/>
        </w:rPr>
      </w:pPr>
      <w:r w:rsidRPr="0007414B">
        <w:rPr>
          <w:rFonts w:eastAsia="DengXian Light"/>
        </w:rPr>
        <w:t xml:space="preserve">In Aotearoa New Zealand, a death can only officially be confirmed as a suicide by a coroner after completing the coronial inquiry. </w:t>
      </w:r>
      <w:r w:rsidRPr="0007414B">
        <w:rPr>
          <w:rFonts w:eastAsia="DengXian Light"/>
        </w:rPr>
        <w:fldChar w:fldCharType="begin"/>
      </w:r>
      <w:r w:rsidRPr="0007414B">
        <w:rPr>
          <w:rFonts w:eastAsia="DengXian Light"/>
        </w:rPr>
        <w:instrText xml:space="preserve"> REF _Ref131588034 \h  \* MERGEFORMAT </w:instrText>
      </w:r>
      <w:r w:rsidRPr="0007414B">
        <w:rPr>
          <w:rFonts w:eastAsia="DengXian Light"/>
        </w:rPr>
      </w:r>
      <w:r w:rsidRPr="0007414B">
        <w:rPr>
          <w:rFonts w:eastAsia="DengXian Light"/>
        </w:rPr>
        <w:fldChar w:fldCharType="separate"/>
      </w:r>
      <w:r w:rsidR="00BE208D" w:rsidRPr="00395CB9">
        <w:t xml:space="preserve">Figure </w:t>
      </w:r>
      <w:r w:rsidR="00BE208D">
        <w:t>23</w:t>
      </w:r>
      <w:r w:rsidRPr="0007414B">
        <w:rPr>
          <w:rFonts w:eastAsia="DengXian Light"/>
        </w:rPr>
        <w:fldChar w:fldCharType="end"/>
      </w:r>
      <w:r w:rsidRPr="0007414B">
        <w:rPr>
          <w:rFonts w:eastAsia="DengXian Light"/>
        </w:rPr>
        <w:t xml:space="preserve"> shows the rate of confirmed suicide per 100,000 total population to 2018 (the year when the latest confirmed suicide data is available).</w:t>
      </w:r>
    </w:p>
    <w:p w14:paraId="5171A762" w14:textId="77777777" w:rsidR="00395CB9" w:rsidRPr="0007414B" w:rsidRDefault="00395CB9" w:rsidP="00395CB9">
      <w:pPr>
        <w:rPr>
          <w:rFonts w:eastAsia="DengXian Light"/>
        </w:rPr>
      </w:pPr>
    </w:p>
    <w:p w14:paraId="69D2469B" w14:textId="4E85065F" w:rsidR="00637847" w:rsidRPr="00395CB9" w:rsidRDefault="00637847" w:rsidP="00395CB9">
      <w:pPr>
        <w:pStyle w:val="Figure"/>
      </w:pPr>
      <w:bookmarkStart w:id="104" w:name="_Ref131588034"/>
      <w:bookmarkStart w:id="105" w:name="_Toc138326965"/>
      <w:bookmarkStart w:id="106" w:name="_Toc138409946"/>
      <w:r w:rsidRPr="00395CB9">
        <w:t xml:space="preserve">Figure </w:t>
      </w:r>
      <w:r w:rsidRPr="00395CB9">
        <w:fldChar w:fldCharType="begin"/>
      </w:r>
      <w:r w:rsidRPr="00395CB9">
        <w:instrText>SEQ Figure \* ARABIC</w:instrText>
      </w:r>
      <w:r w:rsidRPr="00395CB9">
        <w:fldChar w:fldCharType="separate"/>
      </w:r>
      <w:r w:rsidR="00BE208D">
        <w:rPr>
          <w:noProof/>
        </w:rPr>
        <w:t>23</w:t>
      </w:r>
      <w:r w:rsidRPr="00395CB9">
        <w:fldChar w:fldCharType="end"/>
      </w:r>
      <w:bookmarkEnd w:id="104"/>
      <w:r w:rsidRPr="00395CB9">
        <w:t>: Rate of suicide per 100,000 total population, 1948–2018</w:t>
      </w:r>
      <w:bookmarkEnd w:id="105"/>
      <w:bookmarkEnd w:id="106"/>
    </w:p>
    <w:p w14:paraId="42EB904F" w14:textId="77777777" w:rsidR="00637847" w:rsidRPr="0007414B" w:rsidRDefault="00637847" w:rsidP="00637847">
      <w:pPr>
        <w:rPr>
          <w:rFonts w:cs="Segoe UI"/>
        </w:rPr>
      </w:pPr>
      <w:r w:rsidRPr="0007414B">
        <w:rPr>
          <w:noProof/>
        </w:rPr>
        <w:drawing>
          <wp:inline distT="0" distB="0" distL="0" distR="0" wp14:anchorId="39EDCD3A" wp14:editId="33AA99D8">
            <wp:extent cx="5146431" cy="2573216"/>
            <wp:effectExtent l="0" t="0" r="0" b="0"/>
            <wp:docPr id="1823296340" name="Picture 1823296340" descr="A line chart showing the suicide rate per 100,000 between 1948 and 2018. The chart shows the rate remained about constant between about 1948 – 1970. From the early 70s to late 90s the suicide rate generally increased. From the late 90s to 2018, the suicide rate has generally de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0" name="Picture 1823296340" descr="A line chart showing the suicide rate per 100,000 between 1948 and 2018. The chart shows the rate remained about constant between about 1948 – 1970. From the early 70s to late 90s the suicide rate generally increased. From the late 90s to 2018, the suicide rate has generally decreased.&#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58170" cy="2579085"/>
                    </a:xfrm>
                    <a:prstGeom prst="rect">
                      <a:avLst/>
                    </a:prstGeom>
                  </pic:spPr>
                </pic:pic>
              </a:graphicData>
            </a:graphic>
          </wp:inline>
        </w:drawing>
      </w:r>
    </w:p>
    <w:p w14:paraId="620C0508" w14:textId="77777777" w:rsidR="00637847" w:rsidRPr="00637847" w:rsidRDefault="00637847" w:rsidP="00637847">
      <w:pPr>
        <w:pStyle w:val="Source"/>
      </w:pPr>
      <w:r w:rsidRPr="00637847">
        <w:t xml:space="preserve">Source: </w:t>
      </w:r>
      <w:hyperlink r:id="rId79" w:history="1">
        <w:r w:rsidRPr="00637847">
          <w:rPr>
            <w:rStyle w:val="Hyperlink"/>
          </w:rPr>
          <w:t>Te Whatu Ora (2022)</w:t>
        </w:r>
      </w:hyperlink>
    </w:p>
    <w:p w14:paraId="0229F80D" w14:textId="77777777" w:rsidR="00637847" w:rsidRPr="0007414B" w:rsidRDefault="00637847" w:rsidP="00637847">
      <w:pPr>
        <w:spacing w:after="160" w:line="259" w:lineRule="auto"/>
        <w:rPr>
          <w:rFonts w:eastAsiaTheme="majorEastAsia" w:cs="Segoe UI"/>
          <w:color w:val="365F91" w:themeColor="accent1" w:themeShade="BF"/>
          <w:sz w:val="32"/>
          <w:szCs w:val="32"/>
        </w:rPr>
      </w:pPr>
      <w:r w:rsidRPr="0007414B">
        <w:rPr>
          <w:rFonts w:cs="Segoe UI"/>
        </w:rPr>
        <w:br w:type="page"/>
      </w:r>
    </w:p>
    <w:p w14:paraId="616AC80A" w14:textId="77777777" w:rsidR="00395CB9" w:rsidRPr="00395CB9" w:rsidRDefault="00395CB9" w:rsidP="00395CB9">
      <w:pPr>
        <w:pStyle w:val="Heading1"/>
      </w:pPr>
      <w:bookmarkStart w:id="107" w:name="_Toc138326928"/>
      <w:bookmarkStart w:id="108" w:name="_Toc139030814"/>
      <w:r w:rsidRPr="00395CB9">
        <w:lastRenderedPageBreak/>
        <w:t>Determinants of health and wellbeing | Ngā tūtohu o te hauora me te oranga o te tangata</w:t>
      </w:r>
      <w:bookmarkEnd w:id="107"/>
      <w:bookmarkEnd w:id="108"/>
    </w:p>
    <w:p w14:paraId="588923F0" w14:textId="77777777" w:rsidR="00395CB9" w:rsidRPr="0007414B" w:rsidRDefault="00395CB9" w:rsidP="00395CB9">
      <w:pPr>
        <w:rPr>
          <w:rFonts w:eastAsia="Noto Sans"/>
          <w:color w:val="000000" w:themeColor="text1"/>
        </w:rPr>
      </w:pPr>
      <w:r w:rsidRPr="0007414B">
        <w:t xml:space="preserve">The wider determinants of health and wellbeing are a diverse range of social, economic and environmental factors that influence people’s mental and physical health. </w:t>
      </w:r>
      <w:r w:rsidRPr="0007414B">
        <w:rPr>
          <w:rFonts w:eastAsia="Noto Sans"/>
          <w:color w:val="000000" w:themeColor="text1"/>
        </w:rPr>
        <w:t xml:space="preserve">Social determinants are the circumstances </w:t>
      </w:r>
      <w:r w:rsidRPr="0007414B">
        <w:t>and wider forces</w:t>
      </w:r>
      <w:r w:rsidRPr="0007414B">
        <w:rPr>
          <w:rFonts w:eastAsia="Noto Sans"/>
        </w:rPr>
        <w:t xml:space="preserve"> </w:t>
      </w:r>
      <w:r w:rsidRPr="0007414B">
        <w:rPr>
          <w:rFonts w:eastAsia="Noto Sans"/>
          <w:color w:val="000000" w:themeColor="text1"/>
        </w:rPr>
        <w:t xml:space="preserve">in the environments in which people are born, grow up, live, learn, work and age. These can affect health, wellbeing and quality of life </w:t>
      </w:r>
      <w:r w:rsidRPr="0007414B">
        <w:rPr>
          <w:rFonts w:eastAsia="Noto Sans"/>
          <w:color w:val="000000" w:themeColor="text1"/>
        </w:rPr>
        <w:fldChar w:fldCharType="begin"/>
      </w:r>
      <w:r>
        <w:rPr>
          <w:rFonts w:eastAsia="Noto Sans"/>
          <w:color w:val="000000" w:themeColor="text1"/>
        </w:rPr>
        <w:instrText xml:space="preserve"> ADDIN EN.CITE &lt;EndNote&gt;&lt;Cite&gt;&lt;Author&gt;Health Navigator&lt;/Author&gt;&lt;Year&gt;2021&lt;/Year&gt;&lt;RecNum&gt;302&lt;/RecNum&gt;&lt;DisplayText&gt;(Health Navigator 2021)&lt;/DisplayText&gt;&lt;record&gt;&lt;rec-number&gt;302&lt;/rec-number&gt;&lt;foreign-keys&gt;&lt;key app="EN" db-id="aaepvppzs5wtfse95vsp2wahsrtvva2vvdet" timestamp="1683254675"&gt;302&lt;/key&gt;&lt;/foreign-keys&gt;&lt;ref-type name="Web Page"&gt;12&lt;/ref-type&gt;&lt;contributors&gt;&lt;authors&gt;&lt;author&gt;Health Navigator,&lt;/author&gt;&lt;/authors&gt;&lt;/contributors&gt;&lt;titles&gt;&lt;title&gt;Social determinants of health&lt;/title&gt;&lt;/titles&gt;&lt;number&gt;5 May 2023&lt;/number&gt;&lt;dates&gt;&lt;year&gt;2021&lt;/year&gt;&lt;/dates&gt;&lt;urls&gt;&lt;related-urls&gt;&lt;url&gt;www.healthnavigator.org.nz/clinicians/s/social-determinants-of-health/&lt;/url&gt;&lt;/related-urls&gt;&lt;/urls&gt;&lt;/record&gt;&lt;/Cite&gt;&lt;/EndNote&gt;</w:instrText>
      </w:r>
      <w:r w:rsidRPr="0007414B">
        <w:rPr>
          <w:rFonts w:eastAsia="Noto Sans"/>
          <w:color w:val="000000" w:themeColor="text1"/>
        </w:rPr>
        <w:fldChar w:fldCharType="separate"/>
      </w:r>
      <w:r w:rsidRPr="0007414B">
        <w:rPr>
          <w:rFonts w:eastAsia="Noto Sans"/>
          <w:noProof/>
          <w:color w:val="000000" w:themeColor="text1"/>
        </w:rPr>
        <w:t>(Health Navigator 2021)</w:t>
      </w:r>
      <w:r w:rsidRPr="0007414B">
        <w:rPr>
          <w:rFonts w:eastAsia="Noto Sans"/>
          <w:color w:val="000000" w:themeColor="text1"/>
        </w:rPr>
        <w:fldChar w:fldCharType="end"/>
      </w:r>
      <w:r w:rsidRPr="0007414B">
        <w:rPr>
          <w:rFonts w:eastAsia="Noto Sans"/>
          <w:color w:val="000000" w:themeColor="text1"/>
        </w:rPr>
        <w:t xml:space="preserve">. </w:t>
      </w:r>
    </w:p>
    <w:p w14:paraId="20349524" w14:textId="77777777" w:rsidR="00395CB9" w:rsidRPr="0007414B" w:rsidRDefault="00395CB9" w:rsidP="00395CB9">
      <w:pPr>
        <w:rPr>
          <w:rFonts w:eastAsia="Noto Sans"/>
          <w:color w:val="000000" w:themeColor="text1"/>
          <w:szCs w:val="21"/>
        </w:rPr>
      </w:pPr>
    </w:p>
    <w:p w14:paraId="1C4A4F96" w14:textId="77777777" w:rsidR="00395CB9" w:rsidRPr="0007414B" w:rsidRDefault="00395CB9" w:rsidP="00395CB9">
      <w:r w:rsidRPr="0007414B">
        <w:t xml:space="preserve">Although the determinants are connected and overlap, </w:t>
      </w:r>
      <w:r w:rsidRPr="0007414B" w:rsidDel="00B22E35">
        <w:t xml:space="preserve">they </w:t>
      </w:r>
      <w:r w:rsidRPr="0007414B">
        <w:t>can generally fit into the following groups:</w:t>
      </w:r>
    </w:p>
    <w:p w14:paraId="69DBE83C" w14:textId="77777777" w:rsidR="00395CB9" w:rsidRPr="0007414B" w:rsidRDefault="00395CB9" w:rsidP="00395CB9">
      <w:pPr>
        <w:pStyle w:val="ListNumber"/>
        <w:numPr>
          <w:ilvl w:val="0"/>
          <w:numId w:val="13"/>
        </w:numPr>
        <w:spacing w:before="90"/>
        <w:ind w:left="357" w:hanging="357"/>
        <w:contextualSpacing w:val="0"/>
      </w:pPr>
      <w:r w:rsidRPr="0007414B">
        <w:t>social — racism and discrimination; gender; housing; education; health literacy; employment; safety and justice; social connections and inclusion; interpersonal violence</w:t>
      </w:r>
    </w:p>
    <w:p w14:paraId="34692F39" w14:textId="77777777" w:rsidR="00395CB9" w:rsidRPr="0007414B" w:rsidRDefault="00395CB9" w:rsidP="00395CB9">
      <w:pPr>
        <w:pStyle w:val="ListNumber"/>
        <w:numPr>
          <w:ilvl w:val="0"/>
          <w:numId w:val="13"/>
        </w:numPr>
        <w:spacing w:before="90"/>
        <w:ind w:left="357" w:hanging="357"/>
        <w:contextualSpacing w:val="0"/>
      </w:pPr>
      <w:r w:rsidRPr="0007414B">
        <w:t>economic — income security; pay equity; poverty; food insecurity; tax and trade policy; minimum wage; government support (income, student allowances, rent subsidies)</w:t>
      </w:r>
    </w:p>
    <w:p w14:paraId="424566FD" w14:textId="77777777" w:rsidR="00395CB9" w:rsidRPr="0007414B" w:rsidRDefault="00395CB9" w:rsidP="00395CB9">
      <w:pPr>
        <w:pStyle w:val="ListNumber"/>
        <w:numPr>
          <w:ilvl w:val="0"/>
          <w:numId w:val="13"/>
        </w:numPr>
        <w:spacing w:before="90"/>
        <w:ind w:left="357" w:hanging="357"/>
        <w:contextualSpacing w:val="0"/>
      </w:pPr>
      <w:r w:rsidRPr="0007414B">
        <w:t>commercial — political advocacy; sales and marketing; potentially harmful products (for example, alcohol, tobacco, drugs)</w:t>
      </w:r>
    </w:p>
    <w:p w14:paraId="7B8CC41C" w14:textId="77777777" w:rsidR="00395CB9" w:rsidRPr="0007414B" w:rsidRDefault="00395CB9" w:rsidP="00395CB9">
      <w:pPr>
        <w:pStyle w:val="ListNumber"/>
        <w:numPr>
          <w:ilvl w:val="0"/>
          <w:numId w:val="13"/>
        </w:numPr>
        <w:spacing w:before="90"/>
        <w:ind w:left="357" w:hanging="357"/>
        <w:contextualSpacing w:val="0"/>
      </w:pPr>
      <w:r w:rsidRPr="0007414B">
        <w:t>cultural — beliefs, behaviours and practices; identity; colonisation; language; connections to whenua, whānau, whakapapa and m</w:t>
      </w:r>
      <w:r w:rsidRPr="00395CB9">
        <w:rPr>
          <w:rFonts w:cs="Segoe UI"/>
        </w:rPr>
        <w:t>ā</w:t>
      </w:r>
      <w:r w:rsidRPr="0007414B">
        <w:t>tauranga Māori</w:t>
      </w:r>
    </w:p>
    <w:p w14:paraId="624C5BF5" w14:textId="77777777" w:rsidR="00395CB9" w:rsidRPr="0007414B" w:rsidRDefault="00395CB9" w:rsidP="00395CB9">
      <w:pPr>
        <w:pStyle w:val="ListNumber"/>
        <w:numPr>
          <w:ilvl w:val="0"/>
          <w:numId w:val="13"/>
        </w:numPr>
        <w:spacing w:before="90"/>
        <w:ind w:left="357" w:hanging="357"/>
        <w:contextualSpacing w:val="0"/>
      </w:pPr>
      <w:r w:rsidRPr="0007414B">
        <w:t>environmental — built environment and infrastructure; facilities; transport; population density; exposure to infectious diseases; exposure to pollution, natural disasters and climate change</w:t>
      </w:r>
    </w:p>
    <w:p w14:paraId="2670B486" w14:textId="77777777" w:rsidR="00395CB9" w:rsidRPr="0007414B" w:rsidRDefault="00395CB9" w:rsidP="00395CB9">
      <w:pPr>
        <w:pStyle w:val="ListNumber"/>
        <w:numPr>
          <w:ilvl w:val="0"/>
          <w:numId w:val="13"/>
        </w:numPr>
        <w:spacing w:before="90"/>
        <w:ind w:left="357" w:hanging="357"/>
        <w:contextualSpacing w:val="0"/>
      </w:pPr>
      <w:r w:rsidRPr="0007414B">
        <w:t>occupational — work conditions, activities, environment; workplace exposure to harmful products</w:t>
      </w:r>
    </w:p>
    <w:p w14:paraId="4CCA4F72" w14:textId="77777777" w:rsidR="00395CB9" w:rsidRPr="0007414B" w:rsidRDefault="00395CB9" w:rsidP="00395CB9">
      <w:pPr>
        <w:pStyle w:val="ListNumber"/>
        <w:numPr>
          <w:ilvl w:val="0"/>
          <w:numId w:val="13"/>
        </w:numPr>
        <w:spacing w:before="90"/>
        <w:ind w:left="357" w:hanging="357"/>
        <w:contextualSpacing w:val="0"/>
      </w:pPr>
      <w:r w:rsidRPr="0007414B">
        <w:t>digital — direct and indirect ways in which digital technology influences equity in health and wellbeing, including through access to technology such as social media (health and wellbeing information, mis- and dis-information, telehealth) and digital literacy.</w:t>
      </w:r>
    </w:p>
    <w:p w14:paraId="0856AF4B" w14:textId="77777777" w:rsidR="00395CB9" w:rsidRPr="0007414B" w:rsidRDefault="00395CB9" w:rsidP="00395CB9">
      <w:pPr>
        <w:rPr>
          <w:rFonts w:cs="Segoe UI"/>
        </w:rPr>
      </w:pPr>
    </w:p>
    <w:p w14:paraId="008F92C9" w14:textId="77777777" w:rsidR="00395CB9" w:rsidRPr="0007414B" w:rsidRDefault="00395CB9" w:rsidP="00395CB9">
      <w:pPr>
        <w:pStyle w:val="Heading2"/>
      </w:pPr>
      <w:bookmarkStart w:id="109" w:name="_Toc138326929"/>
      <w:bookmarkStart w:id="110" w:name="_Toc139030815"/>
      <w:r w:rsidRPr="0007414B">
        <w:lastRenderedPageBreak/>
        <w:t>Child poverty</w:t>
      </w:r>
      <w:bookmarkEnd w:id="109"/>
      <w:bookmarkEnd w:id="110"/>
    </w:p>
    <w:p w14:paraId="1EFEE7E3" w14:textId="77777777" w:rsidR="00395CB9" w:rsidRPr="0007414B" w:rsidRDefault="00395CB9" w:rsidP="00395CB9">
      <w:pPr>
        <w:rPr>
          <w:rFonts w:cs="Segoe UI"/>
        </w:rPr>
      </w:pPr>
      <w:r w:rsidRPr="0007414B">
        <w:rPr>
          <w:rFonts w:cs="Segoe UI"/>
        </w:rPr>
        <w:t xml:space="preserve">This report uses the Stats NZ definition and measures of child poverty and material hardship </w:t>
      </w:r>
      <w:r w:rsidRPr="0007414B">
        <w:rPr>
          <w:rFonts w:cs="Segoe UI"/>
        </w:rPr>
        <w:fldChar w:fldCharType="begin"/>
      </w:r>
      <w:r>
        <w:rPr>
          <w:rFonts w:cs="Segoe UI"/>
        </w:rPr>
        <w:instrText xml:space="preserve"> ADDIN EN.CITE &lt;EndNote&gt;&lt;Cite&gt;&lt;Author&gt;Stats NZ&lt;/Author&gt;&lt;Year&gt;2022&lt;/Year&gt;&lt;RecNum&gt;377&lt;/RecNum&gt;&lt;DisplayText&gt;(Stats NZ 2022a)&lt;/DisplayText&gt;&lt;record&gt;&lt;rec-number&gt;377&lt;/rec-number&gt;&lt;foreign-keys&gt;&lt;key app="EN" db-id="aaepvppzs5wtfse95vsp2wahsrtvva2vvdet" timestamp="1684382689"&gt;377&lt;/key&gt;&lt;/foreign-keys&gt;&lt;ref-type name="Web Page"&gt;12&lt;/ref-type&gt;&lt;contributors&gt;&lt;authors&gt;&lt;author&gt;Stats NZ,&lt;/author&gt;&lt;/authors&gt;&lt;/contributors&gt;&lt;titles&gt;&lt;title&gt;How we measure child poverty&lt;/title&gt;&lt;/titles&gt;&lt;number&gt;18 May 2023&lt;/number&gt;&lt;dates&gt;&lt;year&gt;2022&lt;/year&gt;&lt;/dates&gt;&lt;urls&gt;&lt;related-urls&gt;&lt;url&gt;www.stats.govt.nz/infographics/how-we-measure-child-poverty/&lt;/url&gt;&lt;/related-urls&gt;&lt;/urls&gt;&lt;/record&gt;&lt;/Cite&gt;&lt;/EndNote&gt;</w:instrText>
      </w:r>
      <w:r w:rsidRPr="0007414B">
        <w:rPr>
          <w:rFonts w:cs="Segoe UI"/>
        </w:rPr>
        <w:fldChar w:fldCharType="separate"/>
      </w:r>
      <w:r w:rsidRPr="0007414B">
        <w:rPr>
          <w:rFonts w:cs="Segoe UI"/>
          <w:noProof/>
        </w:rPr>
        <w:t>(Stats NZ 2022a)</w:t>
      </w:r>
      <w:r w:rsidRPr="0007414B">
        <w:rPr>
          <w:rFonts w:cs="Segoe UI"/>
        </w:rPr>
        <w:fldChar w:fldCharType="end"/>
      </w:r>
      <w:r w:rsidRPr="0007414B">
        <w:rPr>
          <w:rFonts w:cs="Segoe UI"/>
        </w:rPr>
        <w:t>. Child poverty statistics provide estimates of low income and material hardship rates for measures listed in the Child Poverty Reduction Act 2018. Households experiencing material hardship are defined as those with an enforced lack of at least 6 essentials. Examples of essentials include being unable to afford fresh fruit and vegetables, putting off doctor visits, being unable to afford heating and not being able to pay for utilities.​</w:t>
      </w:r>
    </w:p>
    <w:p w14:paraId="3412B227" w14:textId="77777777" w:rsidR="00395CB9" w:rsidRPr="0007414B" w:rsidRDefault="00395CB9" w:rsidP="00395CB9">
      <w:pPr>
        <w:rPr>
          <w:rFonts w:cs="Segoe UI"/>
        </w:rPr>
      </w:pPr>
    </w:p>
    <w:p w14:paraId="4C495A78" w14:textId="77777777" w:rsidR="00395CB9" w:rsidRPr="0007414B" w:rsidRDefault="00395CB9" w:rsidP="00395CB9">
      <w:pPr>
        <w:shd w:val="clear" w:color="auto" w:fill="FFFFFF" w:themeFill="background1"/>
        <w:rPr>
          <w:rFonts w:eastAsia="Noto Sans" w:cs="Segoe UI"/>
          <w:color w:val="000000" w:themeColor="text1"/>
        </w:rPr>
      </w:pPr>
      <w:r w:rsidRPr="0007414B">
        <w:rPr>
          <w:rFonts w:eastAsia="Noto Sans" w:cs="Segoe UI"/>
          <w:color w:val="000000" w:themeColor="text1"/>
        </w:rPr>
        <w:t xml:space="preserve">The primary poverty measures in 2022 were largely unchanged from the previous year. However, compared with the baseline year (the year ended June 2018) 8 of the 9 child poverty measures have decreased by a statistically significant amount </w:t>
      </w:r>
      <w:r w:rsidRPr="0007414B">
        <w:rPr>
          <w:rFonts w:eastAsia="Noto Sans" w:cs="Segoe UI"/>
          <w:color w:val="000000" w:themeColor="text1"/>
        </w:rPr>
        <w:fldChar w:fldCharType="begin"/>
      </w:r>
      <w:r>
        <w:rPr>
          <w:rFonts w:eastAsia="Noto Sans" w:cs="Segoe UI"/>
          <w:color w:val="000000" w:themeColor="text1"/>
        </w:rPr>
        <w:instrText xml:space="preserve"> ADDIN EN.CITE &lt;EndNote&gt;&lt;Cite&gt;&lt;Author&gt;Stats NZ&lt;/Author&gt;&lt;Year&gt;2023&lt;/Year&gt;&lt;RecNum&gt;303&lt;/RecNum&gt;&lt;DisplayText&gt;(Stats NZ 2023b)&lt;/DisplayText&gt;&lt;record&gt;&lt;rec-number&gt;303&lt;/rec-number&gt;&lt;foreign-keys&gt;&lt;key app="EN" db-id="aaepvppzs5wtfse95vsp2wahsrtvva2vvdet" timestamp="1683254763"&gt;303&lt;/key&gt;&lt;/foreign-keys&gt;&lt;ref-type name="Web Page"&gt;12&lt;/ref-type&gt;&lt;contributors&gt;&lt;authors&gt;&lt;author&gt;Stats NZ,&lt;/author&gt;&lt;/authors&gt;&lt;/contributors&gt;&lt;titles&gt;&lt;title&gt;Child poverty statistics show no annual change in the year ended June 2022&lt;/title&gt;&lt;/titles&gt;&lt;number&gt;5 May 2023&lt;/number&gt;&lt;dates&gt;&lt;year&gt;2023&lt;/year&gt;&lt;/dates&gt;&lt;urls&gt;&lt;related-urls&gt;&lt;url&gt;www.stats.govt.nz/news/child-poverty-statistics-show-no-annual-change-in-the-year-ended-june-2022/&lt;/url&gt;&lt;/related-urls&gt;&lt;/urls&gt;&lt;/record&gt;&lt;/Cite&gt;&lt;/EndNote&gt;</w:instrText>
      </w:r>
      <w:r w:rsidRPr="0007414B">
        <w:rPr>
          <w:rFonts w:eastAsia="Noto Sans" w:cs="Segoe UI"/>
          <w:color w:val="000000" w:themeColor="text1"/>
        </w:rPr>
        <w:fldChar w:fldCharType="separate"/>
      </w:r>
      <w:r w:rsidRPr="0007414B">
        <w:rPr>
          <w:rFonts w:eastAsia="Noto Sans" w:cs="Segoe UI"/>
          <w:noProof/>
          <w:color w:val="000000" w:themeColor="text1"/>
        </w:rPr>
        <w:t>(Stats NZ 2023b)</w:t>
      </w:r>
      <w:r w:rsidRPr="0007414B">
        <w:rPr>
          <w:rFonts w:eastAsia="Noto Sans" w:cs="Segoe UI"/>
          <w:color w:val="000000" w:themeColor="text1"/>
        </w:rPr>
        <w:fldChar w:fldCharType="end"/>
      </w:r>
      <w:r w:rsidRPr="0007414B">
        <w:rPr>
          <w:rFonts w:eastAsia="Noto Sans" w:cs="Segoe UI"/>
          <w:color w:val="000000" w:themeColor="text1"/>
        </w:rPr>
        <w:t>.</w:t>
      </w:r>
    </w:p>
    <w:p w14:paraId="6F2E34DA" w14:textId="77777777" w:rsidR="00BE208D" w:rsidRPr="00BE208D" w:rsidRDefault="00395CB9" w:rsidP="00BE208D">
      <w:pPr>
        <w:rPr>
          <w:rFonts w:cs="Segoe UI"/>
        </w:rPr>
      </w:pPr>
      <w:r w:rsidRPr="0007414B">
        <w:rPr>
          <w:rFonts w:eastAsia="Noto Sans" w:cs="Segoe UI"/>
          <w:color w:val="000000" w:themeColor="text1"/>
        </w:rPr>
        <w:fldChar w:fldCharType="begin"/>
      </w:r>
      <w:r w:rsidRPr="0007414B">
        <w:rPr>
          <w:rFonts w:eastAsia="Noto Sans" w:cs="Segoe UI"/>
          <w:color w:val="000000" w:themeColor="text1"/>
        </w:rPr>
        <w:instrText xml:space="preserve"> REF _Ref133392446 \h  \* MERGEFORMAT </w:instrText>
      </w:r>
      <w:r w:rsidRPr="0007414B">
        <w:rPr>
          <w:rFonts w:eastAsia="Noto Sans" w:cs="Segoe UI"/>
          <w:color w:val="000000" w:themeColor="text1"/>
        </w:rPr>
      </w:r>
      <w:r w:rsidRPr="0007414B">
        <w:rPr>
          <w:rFonts w:eastAsia="Noto Sans" w:cs="Segoe UI"/>
          <w:color w:val="000000" w:themeColor="text1"/>
        </w:rPr>
        <w:fldChar w:fldCharType="separate"/>
      </w:r>
    </w:p>
    <w:p w14:paraId="1E2523DA" w14:textId="740281C5" w:rsidR="00395CB9" w:rsidRPr="0007414B" w:rsidRDefault="00BE208D" w:rsidP="00395CB9">
      <w:pPr>
        <w:rPr>
          <w:rFonts w:eastAsia="Noto Sans" w:cs="Segoe UI"/>
          <w:color w:val="000000" w:themeColor="text1"/>
        </w:rPr>
      </w:pPr>
      <w:r w:rsidRPr="0007414B">
        <w:t xml:space="preserve">Table </w:t>
      </w:r>
      <w:r>
        <w:rPr>
          <w:noProof/>
        </w:rPr>
        <w:t>5</w:t>
      </w:r>
      <w:r w:rsidR="00395CB9" w:rsidRPr="0007414B">
        <w:rPr>
          <w:rFonts w:eastAsia="Noto Sans" w:cs="Segoe UI"/>
          <w:color w:val="000000" w:themeColor="text1"/>
        </w:rPr>
        <w:fldChar w:fldCharType="end"/>
      </w:r>
      <w:r w:rsidR="00395CB9" w:rsidRPr="0007414B">
        <w:rPr>
          <w:rFonts w:eastAsia="Noto Sans" w:cs="Segoe UI"/>
          <w:color w:val="000000" w:themeColor="text1"/>
        </w:rPr>
        <w:t xml:space="preserve"> shows</w:t>
      </w:r>
      <w:r w:rsidR="00395CB9">
        <w:rPr>
          <w:rFonts w:eastAsia="Noto Sans" w:cs="Segoe UI"/>
          <w:color w:val="000000" w:themeColor="text1"/>
        </w:rPr>
        <w:t xml:space="preserve"> that</w:t>
      </w:r>
      <w:r w:rsidR="00395CB9" w:rsidRPr="0007414B">
        <w:rPr>
          <w:rFonts w:eastAsia="Noto Sans" w:cs="Segoe UI"/>
          <w:color w:val="000000" w:themeColor="text1"/>
        </w:rPr>
        <w:t xml:space="preserve"> for the year ending June 2022, Māori children (18.8%) and Pacific children (25.6%) had relatively high rates of living in households in material hardship. The year ending in June 2022 also saw high rates of material hardship in 2022 for disabled children and for children living in a household with at least one disabled person (21.5%).</w:t>
      </w:r>
    </w:p>
    <w:p w14:paraId="11DD3525" w14:textId="77777777" w:rsidR="00395CB9" w:rsidRPr="0007414B" w:rsidRDefault="00395CB9" w:rsidP="00395CB9">
      <w:pPr>
        <w:shd w:val="clear" w:color="auto" w:fill="FFFFFF" w:themeFill="background1"/>
        <w:rPr>
          <w:rFonts w:cs="Segoe UI"/>
          <w:color w:val="595959" w:themeColor="text1" w:themeTint="A6"/>
          <w:sz w:val="20"/>
        </w:rPr>
      </w:pPr>
      <w:bookmarkStart w:id="111" w:name="_Ref133392446"/>
    </w:p>
    <w:p w14:paraId="6E4C82D6" w14:textId="4E11C712" w:rsidR="00395CB9" w:rsidRPr="0007414B" w:rsidRDefault="00395CB9" w:rsidP="00395CB9">
      <w:pPr>
        <w:pStyle w:val="Table"/>
      </w:pPr>
      <w:bookmarkStart w:id="112" w:name="_Toc138327000"/>
      <w:bookmarkStart w:id="113" w:name="_Toc138409981"/>
      <w:r w:rsidRPr="0007414B">
        <w:t xml:space="preserve">Table </w:t>
      </w:r>
      <w:r w:rsidRPr="0007414B">
        <w:fldChar w:fldCharType="begin"/>
      </w:r>
      <w:r w:rsidRPr="0007414B">
        <w:instrText>SEQ Table \* ARABIC</w:instrText>
      </w:r>
      <w:r w:rsidRPr="0007414B">
        <w:fldChar w:fldCharType="separate"/>
      </w:r>
      <w:r w:rsidR="00BE208D">
        <w:rPr>
          <w:noProof/>
        </w:rPr>
        <w:t>5</w:t>
      </w:r>
      <w:r w:rsidRPr="0007414B">
        <w:fldChar w:fldCharType="end"/>
      </w:r>
      <w:bookmarkEnd w:id="111"/>
      <w:r w:rsidRPr="0007414B">
        <w:t>: Percentage of children living in poverty or material hardship</w:t>
      </w:r>
      <w:r w:rsidRPr="0007414B" w:rsidDel="00E66960">
        <w:t>,</w:t>
      </w:r>
      <w:r w:rsidRPr="0007414B" w:rsidDel="00654361">
        <w:t xml:space="preserve"> </w:t>
      </w:r>
      <w:r w:rsidRPr="0007414B">
        <w:t>by population group, year ending June 2022</w:t>
      </w:r>
      <w:bookmarkEnd w:id="112"/>
      <w:bookmarkEnd w:id="113"/>
    </w:p>
    <w:tbl>
      <w:tblPr>
        <w:tblStyle w:val="TableGrid"/>
        <w:tblW w:w="835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4390"/>
        <w:gridCol w:w="992"/>
        <w:gridCol w:w="992"/>
        <w:gridCol w:w="992"/>
        <w:gridCol w:w="993"/>
      </w:tblGrid>
      <w:tr w:rsidR="00395CB9" w:rsidRPr="0007414B" w14:paraId="191B9397" w14:textId="77777777" w:rsidTr="00395CB9">
        <w:trPr>
          <w:trHeight w:val="241"/>
        </w:trPr>
        <w:tc>
          <w:tcPr>
            <w:tcW w:w="4390" w:type="dxa"/>
            <w:tcBorders>
              <w:top w:val="nil"/>
              <w:bottom w:val="nil"/>
            </w:tcBorders>
            <w:shd w:val="clear" w:color="auto" w:fill="D9D9D9" w:themeFill="background1" w:themeFillShade="D9"/>
          </w:tcPr>
          <w:p w14:paraId="08444701" w14:textId="77777777" w:rsidR="00395CB9" w:rsidRPr="00395CB9" w:rsidRDefault="00395CB9" w:rsidP="00395CB9">
            <w:pPr>
              <w:pStyle w:val="TableText"/>
              <w:rPr>
                <w:rFonts w:eastAsia="Noto Sans"/>
                <w:b/>
                <w:bCs/>
              </w:rPr>
            </w:pPr>
            <w:r w:rsidRPr="00395CB9">
              <w:rPr>
                <w:rFonts w:eastAsia="Noto Sans"/>
                <w:b/>
                <w:bCs/>
              </w:rPr>
              <w:t>Measure</w:t>
            </w:r>
          </w:p>
        </w:tc>
        <w:tc>
          <w:tcPr>
            <w:tcW w:w="992" w:type="dxa"/>
            <w:tcBorders>
              <w:top w:val="nil"/>
              <w:bottom w:val="nil"/>
            </w:tcBorders>
            <w:shd w:val="clear" w:color="auto" w:fill="D9D9D9" w:themeFill="background1" w:themeFillShade="D9"/>
            <w:vAlign w:val="center"/>
          </w:tcPr>
          <w:p w14:paraId="3E649D32" w14:textId="77777777" w:rsidR="00395CB9" w:rsidRPr="00395CB9" w:rsidRDefault="00395CB9" w:rsidP="00395CB9">
            <w:pPr>
              <w:pStyle w:val="TableText"/>
              <w:jc w:val="center"/>
              <w:rPr>
                <w:rFonts w:eastAsia="Noto Sans"/>
                <w:b/>
                <w:bCs/>
              </w:rPr>
            </w:pPr>
            <w:r w:rsidRPr="00395CB9">
              <w:rPr>
                <w:rFonts w:eastAsia="Noto Sans"/>
                <w:b/>
                <w:bCs/>
              </w:rPr>
              <w:t>All</w:t>
            </w:r>
          </w:p>
        </w:tc>
        <w:tc>
          <w:tcPr>
            <w:tcW w:w="992" w:type="dxa"/>
            <w:tcBorders>
              <w:top w:val="nil"/>
              <w:bottom w:val="nil"/>
            </w:tcBorders>
            <w:shd w:val="clear" w:color="auto" w:fill="D9D9D9" w:themeFill="background1" w:themeFillShade="D9"/>
            <w:vAlign w:val="center"/>
          </w:tcPr>
          <w:p w14:paraId="34EF6AF8" w14:textId="77777777" w:rsidR="00395CB9" w:rsidRPr="00395CB9" w:rsidRDefault="00395CB9" w:rsidP="00395CB9">
            <w:pPr>
              <w:pStyle w:val="TableText"/>
              <w:jc w:val="center"/>
              <w:rPr>
                <w:rFonts w:eastAsia="Noto Sans"/>
                <w:b/>
                <w:bCs/>
              </w:rPr>
            </w:pPr>
            <w:r w:rsidRPr="00395CB9">
              <w:rPr>
                <w:rFonts w:eastAsia="Noto Sans"/>
                <w:b/>
                <w:bCs/>
              </w:rPr>
              <w:t>Māori</w:t>
            </w:r>
          </w:p>
        </w:tc>
        <w:tc>
          <w:tcPr>
            <w:tcW w:w="992" w:type="dxa"/>
            <w:tcBorders>
              <w:top w:val="nil"/>
              <w:bottom w:val="nil"/>
            </w:tcBorders>
            <w:shd w:val="clear" w:color="auto" w:fill="D9D9D9" w:themeFill="background1" w:themeFillShade="D9"/>
            <w:vAlign w:val="center"/>
          </w:tcPr>
          <w:p w14:paraId="5FE783D5" w14:textId="77777777" w:rsidR="00395CB9" w:rsidRPr="00395CB9" w:rsidRDefault="00395CB9" w:rsidP="00395CB9">
            <w:pPr>
              <w:pStyle w:val="TableText"/>
              <w:jc w:val="center"/>
              <w:rPr>
                <w:rFonts w:eastAsia="Noto Sans"/>
                <w:b/>
                <w:bCs/>
              </w:rPr>
            </w:pPr>
            <w:r w:rsidRPr="00395CB9">
              <w:rPr>
                <w:rFonts w:eastAsia="Noto Sans"/>
                <w:b/>
                <w:bCs/>
              </w:rPr>
              <w:t>Pacific peoples</w:t>
            </w:r>
          </w:p>
        </w:tc>
        <w:tc>
          <w:tcPr>
            <w:tcW w:w="993" w:type="dxa"/>
            <w:tcBorders>
              <w:top w:val="nil"/>
              <w:bottom w:val="nil"/>
            </w:tcBorders>
            <w:shd w:val="clear" w:color="auto" w:fill="D9D9D9" w:themeFill="background1" w:themeFillShade="D9"/>
            <w:vAlign w:val="center"/>
          </w:tcPr>
          <w:p w14:paraId="4FB9771E" w14:textId="77777777" w:rsidR="00395CB9" w:rsidRPr="00395CB9" w:rsidRDefault="00395CB9" w:rsidP="00395CB9">
            <w:pPr>
              <w:pStyle w:val="TableText"/>
              <w:jc w:val="center"/>
              <w:rPr>
                <w:rFonts w:eastAsia="Noto Sans"/>
                <w:b/>
                <w:bCs/>
              </w:rPr>
            </w:pPr>
            <w:r w:rsidRPr="00395CB9">
              <w:rPr>
                <w:rFonts w:eastAsia="Noto Sans"/>
                <w:b/>
                <w:bCs/>
              </w:rPr>
              <w:t>Disabled people*</w:t>
            </w:r>
          </w:p>
        </w:tc>
      </w:tr>
      <w:tr w:rsidR="00395CB9" w:rsidRPr="0007414B" w14:paraId="4B25390C" w14:textId="77777777" w:rsidTr="00395CB9">
        <w:trPr>
          <w:trHeight w:val="637"/>
        </w:trPr>
        <w:tc>
          <w:tcPr>
            <w:tcW w:w="4390" w:type="dxa"/>
            <w:tcBorders>
              <w:top w:val="nil"/>
            </w:tcBorders>
            <w:vAlign w:val="center"/>
          </w:tcPr>
          <w:p w14:paraId="51F9CB97" w14:textId="77777777" w:rsidR="00395CB9" w:rsidRPr="0007414B" w:rsidRDefault="00395CB9" w:rsidP="00395CB9">
            <w:pPr>
              <w:pStyle w:val="TableText"/>
              <w:rPr>
                <w:rFonts w:eastAsia="Noto Sans"/>
              </w:rPr>
            </w:pPr>
            <w:r w:rsidRPr="0007414B">
              <w:rPr>
                <w:rFonts w:eastAsia="Noto Sans"/>
              </w:rPr>
              <w:t>Children living in households that had less than 50% of the median equivalised disposable household income</w:t>
            </w:r>
            <w:r>
              <w:rPr>
                <w:rFonts w:eastAsia="Noto Sans"/>
              </w:rPr>
              <w:t>**</w:t>
            </w:r>
            <w:r w:rsidRPr="0007414B">
              <w:rPr>
                <w:rFonts w:eastAsia="Noto Sans"/>
              </w:rPr>
              <w:t> before housing costs</w:t>
            </w:r>
          </w:p>
        </w:tc>
        <w:tc>
          <w:tcPr>
            <w:tcW w:w="992" w:type="dxa"/>
            <w:tcBorders>
              <w:top w:val="nil"/>
            </w:tcBorders>
            <w:vAlign w:val="center"/>
          </w:tcPr>
          <w:p w14:paraId="7704417C" w14:textId="77777777" w:rsidR="00395CB9" w:rsidRPr="0007414B" w:rsidRDefault="00395CB9" w:rsidP="00395CB9">
            <w:pPr>
              <w:pStyle w:val="TableText"/>
              <w:jc w:val="center"/>
              <w:rPr>
                <w:rFonts w:eastAsia="Noto Sans"/>
              </w:rPr>
            </w:pPr>
            <w:r w:rsidRPr="0007414B">
              <w:rPr>
                <w:rFonts w:eastAsia="Noto Sans"/>
              </w:rPr>
              <w:t>12%</w:t>
            </w:r>
          </w:p>
        </w:tc>
        <w:tc>
          <w:tcPr>
            <w:tcW w:w="992" w:type="dxa"/>
            <w:tcBorders>
              <w:top w:val="nil"/>
            </w:tcBorders>
            <w:vAlign w:val="center"/>
          </w:tcPr>
          <w:p w14:paraId="795125E2" w14:textId="77777777" w:rsidR="00395CB9" w:rsidRPr="0007414B" w:rsidRDefault="00395CB9" w:rsidP="00395CB9">
            <w:pPr>
              <w:pStyle w:val="TableText"/>
              <w:jc w:val="center"/>
              <w:rPr>
                <w:rFonts w:eastAsia="Noto Sans"/>
              </w:rPr>
            </w:pPr>
            <w:r w:rsidRPr="0007414B">
              <w:rPr>
                <w:rFonts w:eastAsia="Noto Sans"/>
              </w:rPr>
              <w:t>14.5%</w:t>
            </w:r>
          </w:p>
        </w:tc>
        <w:tc>
          <w:tcPr>
            <w:tcW w:w="992" w:type="dxa"/>
            <w:tcBorders>
              <w:top w:val="nil"/>
            </w:tcBorders>
            <w:vAlign w:val="center"/>
          </w:tcPr>
          <w:p w14:paraId="39274869" w14:textId="77777777" w:rsidR="00395CB9" w:rsidRPr="0007414B" w:rsidRDefault="00395CB9" w:rsidP="00395CB9">
            <w:pPr>
              <w:pStyle w:val="TableText"/>
              <w:jc w:val="center"/>
              <w:rPr>
                <w:rFonts w:eastAsia="Noto Sans"/>
              </w:rPr>
            </w:pPr>
            <w:r w:rsidRPr="0007414B">
              <w:rPr>
                <w:rFonts w:eastAsia="Noto Sans"/>
              </w:rPr>
              <w:t>19.5%</w:t>
            </w:r>
          </w:p>
        </w:tc>
        <w:tc>
          <w:tcPr>
            <w:tcW w:w="993" w:type="dxa"/>
            <w:tcBorders>
              <w:top w:val="nil"/>
            </w:tcBorders>
            <w:vAlign w:val="center"/>
          </w:tcPr>
          <w:p w14:paraId="3311C0FB" w14:textId="77777777" w:rsidR="00395CB9" w:rsidRPr="0007414B" w:rsidRDefault="00395CB9" w:rsidP="00395CB9">
            <w:pPr>
              <w:pStyle w:val="TableText"/>
              <w:jc w:val="center"/>
              <w:rPr>
                <w:rFonts w:eastAsia="Noto Sans"/>
              </w:rPr>
            </w:pPr>
            <w:r w:rsidRPr="0007414B">
              <w:rPr>
                <w:rFonts w:eastAsia="Noto Sans"/>
              </w:rPr>
              <w:t>17.0%</w:t>
            </w:r>
          </w:p>
        </w:tc>
      </w:tr>
      <w:tr w:rsidR="00395CB9" w:rsidRPr="0007414B" w14:paraId="18788C01" w14:textId="77777777" w:rsidTr="00395CB9">
        <w:trPr>
          <w:trHeight w:val="828"/>
        </w:trPr>
        <w:tc>
          <w:tcPr>
            <w:tcW w:w="4390" w:type="dxa"/>
            <w:vAlign w:val="center"/>
          </w:tcPr>
          <w:p w14:paraId="6E0A4F5B" w14:textId="77777777" w:rsidR="00395CB9" w:rsidRPr="0007414B" w:rsidRDefault="00395CB9" w:rsidP="00395CB9">
            <w:pPr>
              <w:pStyle w:val="TableText"/>
              <w:rPr>
                <w:rFonts w:eastAsia="Noto Sans"/>
              </w:rPr>
            </w:pPr>
            <w:r w:rsidRPr="0007414B">
              <w:rPr>
                <w:rFonts w:eastAsia="Noto Sans"/>
              </w:rPr>
              <w:t>Children living in households that had an after-housing-costs income that was less than 50% of the baseline year’s median after-housing-costs equivalised disposable household income</w:t>
            </w:r>
          </w:p>
        </w:tc>
        <w:tc>
          <w:tcPr>
            <w:tcW w:w="992" w:type="dxa"/>
            <w:vAlign w:val="center"/>
          </w:tcPr>
          <w:p w14:paraId="1C9359A3" w14:textId="77777777" w:rsidR="00395CB9" w:rsidRPr="0007414B" w:rsidRDefault="00395CB9" w:rsidP="00395CB9">
            <w:pPr>
              <w:pStyle w:val="TableText"/>
              <w:jc w:val="center"/>
              <w:rPr>
                <w:rFonts w:eastAsia="Noto Sans"/>
              </w:rPr>
            </w:pPr>
            <w:r w:rsidRPr="0007414B">
              <w:rPr>
                <w:rFonts w:eastAsia="Noto Sans"/>
              </w:rPr>
              <w:t>15.4%</w:t>
            </w:r>
          </w:p>
        </w:tc>
        <w:tc>
          <w:tcPr>
            <w:tcW w:w="992" w:type="dxa"/>
            <w:vAlign w:val="center"/>
          </w:tcPr>
          <w:p w14:paraId="5BE27431" w14:textId="77777777" w:rsidR="00395CB9" w:rsidRPr="0007414B" w:rsidRDefault="00395CB9" w:rsidP="00395CB9">
            <w:pPr>
              <w:pStyle w:val="TableText"/>
              <w:jc w:val="center"/>
              <w:rPr>
                <w:rFonts w:eastAsia="Noto Sans"/>
              </w:rPr>
            </w:pPr>
            <w:r w:rsidRPr="0007414B">
              <w:rPr>
                <w:rFonts w:eastAsia="Noto Sans"/>
              </w:rPr>
              <w:t>16.8%</w:t>
            </w:r>
          </w:p>
        </w:tc>
        <w:tc>
          <w:tcPr>
            <w:tcW w:w="992" w:type="dxa"/>
            <w:vAlign w:val="center"/>
          </w:tcPr>
          <w:p w14:paraId="19905B90" w14:textId="77777777" w:rsidR="00395CB9" w:rsidRPr="0007414B" w:rsidRDefault="00395CB9" w:rsidP="00395CB9">
            <w:pPr>
              <w:pStyle w:val="TableText"/>
              <w:jc w:val="center"/>
              <w:rPr>
                <w:rFonts w:eastAsia="Noto Sans"/>
              </w:rPr>
            </w:pPr>
            <w:r w:rsidRPr="0007414B">
              <w:rPr>
                <w:rFonts w:eastAsia="Noto Sans"/>
              </w:rPr>
              <w:t>19.4%</w:t>
            </w:r>
          </w:p>
        </w:tc>
        <w:tc>
          <w:tcPr>
            <w:tcW w:w="993" w:type="dxa"/>
            <w:vAlign w:val="center"/>
          </w:tcPr>
          <w:p w14:paraId="52155C08" w14:textId="77777777" w:rsidR="00395CB9" w:rsidRPr="0007414B" w:rsidRDefault="00395CB9" w:rsidP="00395CB9">
            <w:pPr>
              <w:pStyle w:val="TableText"/>
              <w:jc w:val="center"/>
              <w:rPr>
                <w:rFonts w:eastAsia="Noto Sans"/>
              </w:rPr>
            </w:pPr>
            <w:r w:rsidRPr="0007414B">
              <w:rPr>
                <w:rFonts w:eastAsia="Noto Sans"/>
              </w:rPr>
              <w:t>15.1%</w:t>
            </w:r>
          </w:p>
        </w:tc>
      </w:tr>
      <w:tr w:rsidR="00395CB9" w:rsidRPr="0007414B" w14:paraId="70C1EA97" w14:textId="77777777" w:rsidTr="00395CB9">
        <w:trPr>
          <w:trHeight w:val="399"/>
        </w:trPr>
        <w:tc>
          <w:tcPr>
            <w:tcW w:w="4390" w:type="dxa"/>
            <w:vAlign w:val="center"/>
          </w:tcPr>
          <w:p w14:paraId="639FC7D2" w14:textId="77777777" w:rsidR="00395CB9" w:rsidRPr="0007414B" w:rsidRDefault="00395CB9" w:rsidP="00395CB9">
            <w:pPr>
              <w:pStyle w:val="TableText"/>
              <w:rPr>
                <w:rFonts w:eastAsia="Noto Sans"/>
              </w:rPr>
            </w:pPr>
            <w:r w:rsidRPr="0007414B">
              <w:rPr>
                <w:rFonts w:eastAsia="Noto Sans"/>
              </w:rPr>
              <w:t>Children experienced material hardship</w:t>
            </w:r>
          </w:p>
        </w:tc>
        <w:tc>
          <w:tcPr>
            <w:tcW w:w="992" w:type="dxa"/>
            <w:vAlign w:val="center"/>
          </w:tcPr>
          <w:p w14:paraId="03C1ABBE" w14:textId="77777777" w:rsidR="00395CB9" w:rsidRPr="0007414B" w:rsidRDefault="00395CB9" w:rsidP="00395CB9">
            <w:pPr>
              <w:pStyle w:val="TableText"/>
              <w:jc w:val="center"/>
              <w:rPr>
                <w:rFonts w:eastAsia="Noto Sans"/>
              </w:rPr>
            </w:pPr>
            <w:r w:rsidRPr="0007414B">
              <w:rPr>
                <w:rFonts w:eastAsia="Noto Sans"/>
              </w:rPr>
              <w:t>10.3%</w:t>
            </w:r>
          </w:p>
        </w:tc>
        <w:tc>
          <w:tcPr>
            <w:tcW w:w="992" w:type="dxa"/>
            <w:vAlign w:val="center"/>
          </w:tcPr>
          <w:p w14:paraId="37E65371" w14:textId="77777777" w:rsidR="00395CB9" w:rsidRPr="0007414B" w:rsidRDefault="00395CB9" w:rsidP="00395CB9">
            <w:pPr>
              <w:pStyle w:val="TableText"/>
              <w:jc w:val="center"/>
              <w:rPr>
                <w:rFonts w:eastAsia="Noto Sans"/>
              </w:rPr>
            </w:pPr>
            <w:r w:rsidRPr="0007414B">
              <w:rPr>
                <w:rFonts w:eastAsia="Noto Sans"/>
              </w:rPr>
              <w:t>18.8%</w:t>
            </w:r>
          </w:p>
        </w:tc>
        <w:tc>
          <w:tcPr>
            <w:tcW w:w="992" w:type="dxa"/>
            <w:vAlign w:val="center"/>
          </w:tcPr>
          <w:p w14:paraId="1A1BF177" w14:textId="77777777" w:rsidR="00395CB9" w:rsidRPr="0007414B" w:rsidRDefault="00395CB9" w:rsidP="00395CB9">
            <w:pPr>
              <w:pStyle w:val="TableText"/>
              <w:jc w:val="center"/>
              <w:rPr>
                <w:rFonts w:eastAsia="Noto Sans"/>
              </w:rPr>
            </w:pPr>
            <w:r w:rsidRPr="0007414B">
              <w:rPr>
                <w:rFonts w:eastAsia="Noto Sans"/>
              </w:rPr>
              <w:t>25.6%</w:t>
            </w:r>
          </w:p>
        </w:tc>
        <w:tc>
          <w:tcPr>
            <w:tcW w:w="993" w:type="dxa"/>
            <w:vAlign w:val="center"/>
          </w:tcPr>
          <w:p w14:paraId="3D0B2CC9" w14:textId="77777777" w:rsidR="00395CB9" w:rsidRPr="0007414B" w:rsidRDefault="00395CB9" w:rsidP="00395CB9">
            <w:pPr>
              <w:pStyle w:val="TableText"/>
              <w:jc w:val="center"/>
              <w:rPr>
                <w:rFonts w:eastAsia="Noto Sans"/>
              </w:rPr>
            </w:pPr>
            <w:r w:rsidRPr="0007414B">
              <w:rPr>
                <w:rFonts w:eastAsia="Noto Sans"/>
              </w:rPr>
              <w:t>21.5%</w:t>
            </w:r>
          </w:p>
        </w:tc>
      </w:tr>
    </w:tbl>
    <w:p w14:paraId="5A519F4F" w14:textId="77777777" w:rsidR="00395CB9" w:rsidRPr="00215A71" w:rsidRDefault="00395CB9" w:rsidP="00395CB9">
      <w:pPr>
        <w:pStyle w:val="Note"/>
      </w:pPr>
      <w:r w:rsidRPr="00215A71">
        <w:rPr>
          <w:rFonts w:eastAsia="Noto Sans"/>
          <w:color w:val="000000" w:themeColor="text1"/>
        </w:rPr>
        <w:t>Note: *</w:t>
      </w:r>
      <w:r w:rsidRPr="00215A71">
        <w:t xml:space="preserve"> Disabled children and children in households with at least one disabled person</w:t>
      </w:r>
    </w:p>
    <w:p w14:paraId="08598EAA" w14:textId="167ECBAB" w:rsidR="00395CB9" w:rsidRPr="00215A71" w:rsidRDefault="00395CB9" w:rsidP="00395CB9">
      <w:pPr>
        <w:pStyle w:val="Note"/>
        <w:ind w:left="567"/>
      </w:pPr>
      <w:r w:rsidRPr="00215A71">
        <w:t xml:space="preserve">** Equivalisation is the process of adjusting household income by taking into account household </w:t>
      </w:r>
      <w:r>
        <w:t xml:space="preserve">  </w:t>
      </w:r>
      <w:r w:rsidRPr="00215A71">
        <w:t>size and composition. This allows more accurate comparisons between different types of households.</w:t>
      </w:r>
    </w:p>
    <w:p w14:paraId="6EC2D7FC" w14:textId="77777777" w:rsidR="00395CB9" w:rsidRPr="00395CB9" w:rsidRDefault="00395CB9" w:rsidP="00395CB9">
      <w:pPr>
        <w:pStyle w:val="Source"/>
      </w:pPr>
      <w:r w:rsidRPr="00395CB9">
        <w:t xml:space="preserve">Source: </w:t>
      </w:r>
      <w:hyperlink r:id="rId80">
        <w:r w:rsidRPr="00395CB9">
          <w:rPr>
            <w:rStyle w:val="Hyperlink"/>
          </w:rPr>
          <w:t>Stats NZ (2023b</w:t>
        </w:r>
      </w:hyperlink>
      <w:r w:rsidRPr="00395CB9">
        <w:rPr>
          <w:rStyle w:val="Hyperlink"/>
        </w:rPr>
        <w:t>)</w:t>
      </w:r>
    </w:p>
    <w:p w14:paraId="3ED7B6C6" w14:textId="77777777" w:rsidR="00395CB9" w:rsidRPr="0007414B" w:rsidRDefault="00395CB9" w:rsidP="00395CB9">
      <w:pPr>
        <w:pStyle w:val="Heading2"/>
      </w:pPr>
      <w:bookmarkStart w:id="114" w:name="_Toc138326930"/>
      <w:bookmarkStart w:id="115" w:name="_Toc139030816"/>
      <w:r w:rsidRPr="0007414B">
        <w:t>Household food insecurity</w:t>
      </w:r>
      <w:bookmarkEnd w:id="114"/>
      <w:bookmarkEnd w:id="115"/>
    </w:p>
    <w:p w14:paraId="748B93CE" w14:textId="77777777" w:rsidR="00395CB9" w:rsidRPr="0007414B" w:rsidRDefault="00395CB9" w:rsidP="00395CB9">
      <w:pPr>
        <w:rPr>
          <w:rFonts w:eastAsia="DengXian Light" w:cs="Segoe UI"/>
          <w:color w:val="414042"/>
        </w:rPr>
      </w:pPr>
      <w:r w:rsidRPr="0007414B">
        <w:rPr>
          <w:rFonts w:cs="Segoe UI"/>
          <w:shd w:val="clear" w:color="auto" w:fill="FFFFFF"/>
        </w:rPr>
        <w:t xml:space="preserve">Food insecurity is limited or uncertain availability of nutritionally adequate and safe foods, or limited ability to acquire personally acceptable foods that meet cultural needs in a socially acceptable way </w:t>
      </w:r>
      <w:r w:rsidRPr="0007414B">
        <w:rPr>
          <w:rFonts w:cs="Segoe UI"/>
          <w:shd w:val="clear" w:color="auto" w:fill="FFFFFF"/>
        </w:rPr>
        <w:fldChar w:fldCharType="begin"/>
      </w:r>
      <w:r>
        <w:rPr>
          <w:rFonts w:cs="Segoe UI"/>
          <w:shd w:val="clear" w:color="auto" w:fill="FFFFFF"/>
        </w:rPr>
        <w:instrText xml:space="preserve"> ADDIN EN.CITE &lt;EndNote&gt;&lt;Cite&gt;&lt;Author&gt;Manatū Hauora&lt;/Author&gt;&lt;Year&gt;2019&lt;/Year&gt;&lt;RecNum&gt;304&lt;/RecNum&gt;&lt;DisplayText&gt;(Manatū Hauora 2019c)&lt;/DisplayText&gt;&lt;record&gt;&lt;rec-number&gt;304&lt;/rec-number&gt;&lt;foreign-keys&gt;&lt;key app="EN" db-id="aaepvppzs5wtfse95vsp2wahsrtvva2vvdet" timestamp="1683254928"&gt;304&lt;/key&gt;&lt;/foreign-keys&gt;&lt;ref-type name="Web Page"&gt;12&lt;/ref-type&gt;&lt;contributors&gt;&lt;authors&gt;&lt;author&gt;&lt;style face="normal" font="default" size="100%"&gt;Manat&lt;/style&gt;&lt;style face="normal" font="default" charset="238" size="100%"&gt;ū Hauora,&lt;/style&gt;&lt;/author&gt;&lt;/authors&gt;&lt;/contributors&gt;&lt;titles&gt;&lt;title&gt;Household food insecurity among children: New Zealand Health Survey&lt;/title&gt;&lt;/titles&gt;&lt;number&gt;5 May 2023&lt;/number&gt;&lt;dates&gt;&lt;year&gt;2019&lt;/year&gt;&lt;/dates&gt;&lt;urls&gt;&lt;related-urls&gt;&lt;url&gt;www.health.govt.nz/system/files/documents/publications/household-food-insecurity-among-children-new-zealand-health-survey-summary-of-findings-jun19.pdf&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(Manatū Hauora 2019c)</w:t>
      </w:r>
      <w:r w:rsidRPr="0007414B">
        <w:rPr>
          <w:rFonts w:cs="Segoe UI"/>
          <w:shd w:val="clear" w:color="auto" w:fill="FFFFFF"/>
        </w:rPr>
        <w:fldChar w:fldCharType="end"/>
      </w:r>
      <w:r w:rsidRPr="0007414B">
        <w:rPr>
          <w:rFonts w:cs="Segoe UI"/>
          <w:shd w:val="clear" w:color="auto" w:fill="FFFFFF"/>
        </w:rPr>
        <w:t xml:space="preserve">. </w:t>
      </w:r>
      <w:r w:rsidRPr="0007414B">
        <w:rPr>
          <w:rFonts w:cs="Segoe UI"/>
        </w:rPr>
        <w:t xml:space="preserve">Compared with children in food-secure households, children in food-insecure households have more risk factors for ill health and worse health status, and their caregivers indicate more concerns with their development. These findings are consistent with </w:t>
      </w:r>
      <w:r>
        <w:rPr>
          <w:rFonts w:cs="Segoe UI"/>
        </w:rPr>
        <w:t>those from other</w:t>
      </w:r>
      <w:r w:rsidRPr="0007414B">
        <w:rPr>
          <w:rFonts w:cs="Segoe UI"/>
        </w:rPr>
        <w:t xml:space="preserve"> national and </w:t>
      </w:r>
      <w:r w:rsidRPr="0007414B">
        <w:rPr>
          <w:rFonts w:cs="Segoe UI"/>
        </w:rPr>
        <w:lastRenderedPageBreak/>
        <w:t xml:space="preserve">international research. Food insecurity, poverty and material deprivation </w:t>
      </w:r>
      <w:r>
        <w:rPr>
          <w:rFonts w:cs="Segoe UI"/>
        </w:rPr>
        <w:t>combined</w:t>
      </w:r>
      <w:r w:rsidRPr="0007414B">
        <w:rPr>
          <w:rFonts w:cs="Segoe UI"/>
        </w:rPr>
        <w:t xml:space="preserve"> are likely to </w:t>
      </w:r>
      <w:r>
        <w:rPr>
          <w:rFonts w:cs="Segoe UI"/>
        </w:rPr>
        <w:t>further increase the risk of</w:t>
      </w:r>
      <w:r w:rsidRPr="0007414B">
        <w:rPr>
          <w:rFonts w:cs="Segoe UI"/>
        </w:rPr>
        <w:t xml:space="preserve"> </w:t>
      </w:r>
      <w:r>
        <w:rPr>
          <w:rFonts w:cs="Segoe UI"/>
        </w:rPr>
        <w:t>ill health and worse health status</w:t>
      </w:r>
      <w:r w:rsidRPr="0007414B">
        <w:rPr>
          <w:rFonts w:cs="Segoe UI"/>
        </w:rPr>
        <w:t xml:space="preserve"> </w:t>
      </w:r>
      <w:r w:rsidRPr="0007414B">
        <w:rPr>
          <w:rFonts w:cs="Segoe UI"/>
        </w:rPr>
        <w:fldChar w:fldCharType="begin"/>
      </w:r>
      <w:r>
        <w:rPr>
          <w:rFonts w:cs="Segoe UI"/>
        </w:rPr>
        <w:instrText xml:space="preserve"> ADDIN EN.CITE &lt;EndNote&gt;&lt;Cite&gt;&lt;Author&gt;Manatū Hauora&lt;/Author&gt;&lt;Year&gt;2019&lt;/Year&gt;&lt;RecNum&gt;304&lt;/RecNum&gt;&lt;DisplayText&gt;(Manatū Hauora 2019c)&lt;/DisplayText&gt;&lt;record&gt;&lt;rec-number&gt;304&lt;/rec-number&gt;&lt;foreign-keys&gt;&lt;key app="EN" db-id="aaepvppzs5wtfse95vsp2wahsrtvva2vvdet" timestamp="1683254928"&gt;304&lt;/key&gt;&lt;/foreign-keys&gt;&lt;ref-type name="Web Page"&gt;12&lt;/ref-type&gt;&lt;contributors&gt;&lt;authors&gt;&lt;author&gt;&lt;style face="normal" font="default" size="100%"&gt;Manat&lt;/style&gt;&lt;style face="normal" font="default" charset="238" size="100%"&gt;ū Hauora,&lt;/style&gt;&lt;/author&gt;&lt;/authors&gt;&lt;/contributors&gt;&lt;titles&gt;&lt;title&gt;Household food insecurity among children: New Zealand Health Survey&lt;/title&gt;&lt;/titles&gt;&lt;number&gt;5 May 2023&lt;/number&gt;&lt;dates&gt;&lt;year&gt;2019&lt;/year&gt;&lt;/dates&gt;&lt;urls&gt;&lt;related-urls&gt;&lt;url&gt;www.health.govt.nz/system/files/documents/publications/household-food-insecurity-among-children-new-zealand-health-survey-summary-of-findings-jun19.pdf&lt;/url&gt;&lt;/related-urls&gt;&lt;/urls&gt;&lt;/record&gt;&lt;/Cite&gt;&lt;/EndNote&gt;</w:instrText>
      </w:r>
      <w:r w:rsidRPr="0007414B">
        <w:rPr>
          <w:rFonts w:cs="Segoe UI"/>
        </w:rPr>
        <w:fldChar w:fldCharType="separate"/>
      </w:r>
      <w:r w:rsidRPr="0007414B">
        <w:rPr>
          <w:rFonts w:cs="Segoe UI"/>
          <w:noProof/>
        </w:rPr>
        <w:t>(Manatū Hauora 2019c)</w:t>
      </w:r>
      <w:r w:rsidRPr="0007414B">
        <w:rPr>
          <w:rFonts w:cs="Segoe UI"/>
        </w:rPr>
        <w:fldChar w:fldCharType="end"/>
      </w:r>
      <w:r w:rsidRPr="0007414B">
        <w:rPr>
          <w:rFonts w:cs="Segoe UI"/>
        </w:rPr>
        <w:t>.</w:t>
      </w:r>
    </w:p>
    <w:p w14:paraId="29B249C9" w14:textId="77777777" w:rsidR="00395CB9" w:rsidRPr="0007414B" w:rsidRDefault="00395CB9" w:rsidP="00395CB9">
      <w:pPr>
        <w:rPr>
          <w:rFonts w:eastAsia="DengXian Light" w:cs="Segoe UI"/>
          <w:color w:val="414042"/>
          <w:szCs w:val="21"/>
        </w:rPr>
      </w:pPr>
    </w:p>
    <w:p w14:paraId="4A37AF22" w14:textId="77777777" w:rsidR="00395CB9" w:rsidRDefault="00395CB9" w:rsidP="00395CB9">
      <w:pPr>
        <w:rPr>
          <w:rFonts w:eastAsia="DengXian Light" w:cs="Segoe UI"/>
        </w:rPr>
      </w:pPr>
      <w:r w:rsidRPr="0007414B">
        <w:rPr>
          <w:rFonts w:eastAsia="DengXian Light" w:cs="Segoe UI"/>
        </w:rPr>
        <w:t xml:space="preserve">According to the Health Survey, </w:t>
      </w:r>
      <w:r w:rsidRPr="0007414B">
        <w:rPr>
          <w:rFonts w:eastAsia="Calibri Light" w:cs="Segoe UI"/>
        </w:rPr>
        <w:t>in the single survey year of 2021/22,</w:t>
      </w:r>
      <w:r w:rsidRPr="0007414B">
        <w:rPr>
          <w:rFonts w:eastAsia="DengXian Light" w:cs="Segoe UI"/>
        </w:rPr>
        <w:t xml:space="preserve"> the</w:t>
      </w:r>
      <w:r w:rsidRPr="0007414B">
        <w:rPr>
          <w:rFonts w:eastAsia="Calibri Light" w:cs="Segoe UI"/>
        </w:rPr>
        <w:t xml:space="preserve"> overall</w:t>
      </w:r>
      <w:r w:rsidRPr="0007414B">
        <w:rPr>
          <w:rFonts w:eastAsia="DengXian Light" w:cs="Segoe UI"/>
        </w:rPr>
        <w:t xml:space="preserve"> percentage of children living in a household where food runs out often or sometimes has fallen from 24.1% in 2012/13 to 12.5% in 2021/22 </w:t>
      </w:r>
      <w:r w:rsidRPr="0007414B">
        <w:rPr>
          <w:rFonts w:eastAsia="DengXian Light" w:cs="Segoe UI"/>
        </w:rPr>
        <w:fldChar w:fldCharType="begin"/>
      </w:r>
      <w:r w:rsidRPr="0007414B">
        <w:rPr>
          <w:rFonts w:eastAsia="DengXian Light"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eastAsia="DengXian Light" w:cs="Segoe UI"/>
        </w:rPr>
        <w:fldChar w:fldCharType="separate"/>
      </w:r>
      <w:r w:rsidRPr="0007414B">
        <w:rPr>
          <w:rFonts w:eastAsia="DengXian Light" w:cs="Segoe UI"/>
        </w:rPr>
        <w:t>(Manatū Hauora 2023a)</w:t>
      </w:r>
      <w:r w:rsidRPr="0007414B">
        <w:rPr>
          <w:rFonts w:eastAsia="DengXian Light" w:cs="Segoe UI"/>
        </w:rPr>
        <w:fldChar w:fldCharType="end"/>
      </w:r>
      <w:r w:rsidRPr="0007414B">
        <w:rPr>
          <w:rFonts w:eastAsia="DengXian Light" w:cs="Segoe UI"/>
        </w:rPr>
        <w:t xml:space="preserve">. </w:t>
      </w:r>
    </w:p>
    <w:p w14:paraId="0F8CE22A" w14:textId="77777777" w:rsidR="00395CB9" w:rsidRDefault="00395CB9" w:rsidP="00395CB9">
      <w:pPr>
        <w:rPr>
          <w:rFonts w:eastAsia="DengXian Light" w:cs="Segoe UI"/>
        </w:rPr>
      </w:pPr>
    </w:p>
    <w:p w14:paraId="37C578EA" w14:textId="55469347" w:rsidR="00395CB9" w:rsidRPr="0007414B" w:rsidRDefault="00395CB9" w:rsidP="00395CB9">
      <w:pPr>
        <w:rPr>
          <w:rFonts w:cs="Segoe UI"/>
        </w:rPr>
      </w:pPr>
      <w:r w:rsidRPr="0007414B">
        <w:rPr>
          <w:rFonts w:eastAsia="DengXian Light" w:cs="Segoe UI"/>
        </w:rPr>
        <w:t>However, population groups differed in their level of food insecurity. Children who lived in a household where food runs out often or sometimes</w:t>
      </w:r>
      <w:r w:rsidRPr="0007414B" w:rsidDel="00A75AC3">
        <w:rPr>
          <w:rFonts w:eastAsia="DengXian Light" w:cs="Segoe UI"/>
        </w:rPr>
        <w:t xml:space="preserve"> </w:t>
      </w:r>
      <w:r w:rsidRPr="0007414B">
        <w:rPr>
          <w:rFonts w:eastAsia="DengXian Light" w:cs="Segoe UI"/>
        </w:rPr>
        <w:t>included:</w:t>
      </w:r>
    </w:p>
    <w:p w14:paraId="2DBC7B21" w14:textId="77777777" w:rsidR="00395CB9" w:rsidRPr="0007414B" w:rsidRDefault="00395CB9" w:rsidP="00395CB9">
      <w:pPr>
        <w:pStyle w:val="Bullet"/>
      </w:pPr>
      <w:r w:rsidRPr="0007414B">
        <w:t xml:space="preserve">38.2% of Pacific children </w:t>
      </w:r>
    </w:p>
    <w:p w14:paraId="32CC7DD3" w14:textId="77777777" w:rsidR="00395CB9" w:rsidRPr="0007414B" w:rsidRDefault="00395CB9" w:rsidP="00395CB9">
      <w:pPr>
        <w:pStyle w:val="Bullet"/>
      </w:pPr>
      <w:r w:rsidRPr="0007414B">
        <w:t>22.4%</w:t>
      </w:r>
      <w:r w:rsidRPr="0007414B" w:rsidDel="00A75AC3">
        <w:t xml:space="preserve"> </w:t>
      </w:r>
      <w:r w:rsidRPr="0007414B">
        <w:t xml:space="preserve">of Māori children </w:t>
      </w:r>
    </w:p>
    <w:p w14:paraId="6A03E383" w14:textId="77777777" w:rsidR="00395CB9" w:rsidRPr="0007414B" w:rsidRDefault="00395CB9" w:rsidP="00395CB9">
      <w:pPr>
        <w:pStyle w:val="Bullet"/>
      </w:pPr>
      <w:r w:rsidRPr="0007414B">
        <w:t>9.4% of European/other children</w:t>
      </w:r>
    </w:p>
    <w:p w14:paraId="323C0CF4" w14:textId="77777777" w:rsidR="00395CB9" w:rsidRPr="0007414B" w:rsidRDefault="00395CB9" w:rsidP="00395CB9">
      <w:pPr>
        <w:pStyle w:val="Bullet"/>
      </w:pPr>
      <w:r w:rsidRPr="0007414B">
        <w:t>4.8% of Asian children.</w:t>
      </w:r>
    </w:p>
    <w:p w14:paraId="44C9C9DA" w14:textId="77777777" w:rsidR="00395CB9" w:rsidRPr="0007414B" w:rsidRDefault="00395CB9" w:rsidP="00395CB9">
      <w:pPr>
        <w:pStyle w:val="Bullet"/>
      </w:pPr>
      <w:r w:rsidRPr="0007414B">
        <w:t>26.8% of children living in the most deprived areas</w:t>
      </w:r>
    </w:p>
    <w:p w14:paraId="0C51888A" w14:textId="77777777" w:rsidR="00395CB9" w:rsidRPr="0007414B" w:rsidRDefault="00395CB9" w:rsidP="00395CB9">
      <w:pPr>
        <w:pStyle w:val="Bullet"/>
      </w:pPr>
      <w:r w:rsidRPr="0007414B">
        <w:t>3.8% children living in the least deprived areas.</w:t>
      </w:r>
      <w:r w:rsidRPr="0007414B">
        <w:rPr>
          <w:rStyle w:val="FootnoteReference"/>
          <w:rFonts w:eastAsia="DengXian Light" w:cs="Segoe UI"/>
        </w:rPr>
        <w:footnoteReference w:id="14"/>
      </w:r>
    </w:p>
    <w:p w14:paraId="69443850" w14:textId="77777777" w:rsidR="00395CB9" w:rsidRPr="0007414B" w:rsidRDefault="00395CB9" w:rsidP="00395CB9">
      <w:pPr>
        <w:pStyle w:val="Heading2"/>
      </w:pPr>
      <w:bookmarkStart w:id="116" w:name="_Toc138326931"/>
      <w:bookmarkStart w:id="117" w:name="_Toc139030817"/>
      <w:r w:rsidRPr="0007414B">
        <w:t>Housing</w:t>
      </w:r>
      <w:bookmarkEnd w:id="116"/>
      <w:bookmarkEnd w:id="117"/>
    </w:p>
    <w:p w14:paraId="79313737" w14:textId="77777777" w:rsidR="00395CB9" w:rsidRPr="0007414B" w:rsidRDefault="00395CB9" w:rsidP="00395CB9">
      <w:pPr>
        <w:pStyle w:val="Heading3"/>
      </w:pPr>
      <w:r w:rsidRPr="0007414B">
        <w:t>Home ownership</w:t>
      </w:r>
    </w:p>
    <w:p w14:paraId="7020373B" w14:textId="77777777" w:rsidR="00395CB9" w:rsidRPr="0007414B" w:rsidRDefault="00395CB9" w:rsidP="00395CB9">
      <w:pPr>
        <w:pStyle w:val="Bullet"/>
      </w:pPr>
      <w:r w:rsidRPr="0007414B">
        <w:t xml:space="preserve">In 2018, Aotearoa New Zealand’s home ownership rates were at their lowest since the 1950s </w:t>
      </w:r>
      <w:r w:rsidRPr="0007414B">
        <w:fldChar w:fldCharType="begin"/>
      </w:r>
      <w:r>
        <w:instrText xml:space="preserve"> ADDIN EN.CITE &lt;EndNote&gt;&lt;Cite&gt;&lt;Author&gt;Stats NZ&lt;/Author&gt;&lt;Year&gt;2020&lt;/Year&gt;&lt;RecNum&gt;306&lt;/RecNum&gt;&lt;DisplayText&gt;(Stats NZ 2020c)&lt;/DisplayText&gt;&lt;record&gt;&lt;rec-number&gt;306&lt;/rec-number&gt;&lt;foreign-keys&gt;&lt;key app="EN" db-id="aaepvppzs5wtfse95vsp2wahsrtvva2vvdet" timestamp="1683255164"&gt;306&lt;/key&gt;&lt;/foreign-keys&gt;&lt;ref-type name="Web Page"&gt;12&lt;/ref-type&gt;&lt;contributors&gt;&lt;authors&gt;&lt;author&gt;Stats NZ,&lt;/author&gt;&lt;/authors&gt;&lt;/contributors&gt;&lt;titles&gt;&lt;title&gt;Housing in Aotearoa: 2020&lt;/title&gt;&lt;/titles&gt;&lt;number&gt;5 May 2023&lt;/number&gt;&lt;dates&gt;&lt;year&gt;2020&lt;/year&gt;&lt;/dates&gt;&lt;urls&gt;&lt;related-urls&gt;&lt;url&gt;www.stats.govt.nz/reports/housing-in-aotearoa-2020&lt;/url&gt;&lt;/related-urls&gt;&lt;/urls&gt;&lt;/record&gt;&lt;/Cite&gt;&lt;/EndNote&gt;</w:instrText>
      </w:r>
      <w:r w:rsidRPr="0007414B">
        <w:fldChar w:fldCharType="separate"/>
      </w:r>
      <w:r w:rsidRPr="0007414B">
        <w:rPr>
          <w:noProof/>
        </w:rPr>
        <w:t>(Stats NZ 2020c)</w:t>
      </w:r>
      <w:r w:rsidRPr="0007414B">
        <w:fldChar w:fldCharType="end"/>
      </w:r>
      <w:r w:rsidRPr="0007414B">
        <w:t xml:space="preserve">. Home ownership peaked in the 1990s, at 73.8% of households, but by 2018, home ownership had fallen to 64.5% of households. </w:t>
      </w:r>
    </w:p>
    <w:p w14:paraId="1EF3D530" w14:textId="77777777" w:rsidR="00395CB9" w:rsidRPr="0007414B" w:rsidRDefault="00395CB9" w:rsidP="00395CB9">
      <w:pPr>
        <w:pStyle w:val="Bullet"/>
        <w:rPr>
          <w:rFonts w:eastAsia="Noto Sans"/>
          <w:color w:val="000000" w:themeColor="text1"/>
        </w:rPr>
      </w:pPr>
      <w:r w:rsidRPr="0007414B">
        <w:rPr>
          <w:rFonts w:eastAsia="Noto Sans"/>
          <w:color w:val="000000" w:themeColor="text1"/>
        </w:rPr>
        <w:t>The population groups of Māori and Pacific peoples were less likely to own their home or hold it in a family trust than other ethnic groups. They were</w:t>
      </w:r>
      <w:r w:rsidRPr="0007414B" w:rsidDel="00A56983">
        <w:rPr>
          <w:rFonts w:eastAsia="Noto Sans"/>
          <w:color w:val="000000" w:themeColor="text1"/>
        </w:rPr>
        <w:t xml:space="preserve"> </w:t>
      </w:r>
      <w:r w:rsidRPr="0007414B">
        <w:rPr>
          <w:rFonts w:eastAsia="Noto Sans"/>
          <w:color w:val="000000" w:themeColor="text1"/>
        </w:rPr>
        <w:t>more likely, along with people in Asian and MELAA ethnic groups, to live in public housing.</w:t>
      </w:r>
    </w:p>
    <w:p w14:paraId="21C13602" w14:textId="77777777" w:rsidR="00395CB9" w:rsidRPr="0007414B" w:rsidRDefault="00395CB9" w:rsidP="00395CB9">
      <w:pPr>
        <w:pStyle w:val="Heading3"/>
        <w:rPr>
          <w:rFonts w:eastAsia="Noto Sans"/>
          <w:color w:val="000000" w:themeColor="text1"/>
        </w:rPr>
      </w:pPr>
      <w:r w:rsidRPr="0007414B">
        <w:t>Housing affordability</w:t>
      </w:r>
    </w:p>
    <w:p w14:paraId="0C41C192" w14:textId="77777777" w:rsidR="00395CB9" w:rsidRPr="0007414B" w:rsidRDefault="00395CB9" w:rsidP="00395CB9">
      <w:pPr>
        <w:pStyle w:val="Bullet"/>
      </w:pPr>
      <w:r w:rsidRPr="0007414B">
        <w:t xml:space="preserve">Renting households (that are not owner-occupied) generally spent a higher proportion of their income on housing costs than owner-occupiers in 2018. The proportion of renting households that spent more than 30% of their income on housing costs increased rapidly, from less than 20% of renters in 1988 to over 40% in 2019 </w:t>
      </w:r>
      <w:r w:rsidRPr="0007414B">
        <w:fldChar w:fldCharType="begin"/>
      </w:r>
      <w:r>
        <w:instrText xml:space="preserve"> ADDIN EN.CITE &lt;EndNote&gt;&lt;Cite&gt;&lt;Author&gt;Stats NZ&lt;/Author&gt;&lt;Year&gt;2020&lt;/Year&gt;&lt;RecNum&gt;306&lt;/RecNum&gt;&lt;DisplayText&gt;(Stats NZ 2020c)&lt;/DisplayText&gt;&lt;record&gt;&lt;rec-number&gt;306&lt;/rec-number&gt;&lt;foreign-keys&gt;&lt;key app="EN" db-id="aaepvppzs5wtfse95vsp2wahsrtvva2vvdet" timestamp="1683255164"&gt;306&lt;/key&gt;&lt;/foreign-keys&gt;&lt;ref-type name="Web Page"&gt;12&lt;/ref-type&gt;&lt;contributors&gt;&lt;authors&gt;&lt;author&gt;Stats NZ,&lt;/author&gt;&lt;/authors&gt;&lt;/contributors&gt;&lt;titles&gt;&lt;title&gt;Housing in Aotearoa: 2020&lt;/title&gt;&lt;/titles&gt;&lt;number&gt;5 May 2023&lt;/number&gt;&lt;dates&gt;&lt;year&gt;2020&lt;/year&gt;&lt;/dates&gt;&lt;urls&gt;&lt;related-urls&gt;&lt;url&gt;www.stats.govt.nz/reports/housing-in-aotearoa-2020&lt;/url&gt;&lt;/related-urls&gt;&lt;/urls&gt;&lt;/record&gt;&lt;/Cite&gt;&lt;/EndNote&gt;</w:instrText>
      </w:r>
      <w:r w:rsidRPr="0007414B">
        <w:fldChar w:fldCharType="separate"/>
      </w:r>
      <w:r w:rsidRPr="0007414B">
        <w:rPr>
          <w:noProof/>
        </w:rPr>
        <w:t>(Stats NZ 2020c)</w:t>
      </w:r>
      <w:r w:rsidRPr="0007414B">
        <w:fldChar w:fldCharType="end"/>
      </w:r>
      <w:r w:rsidRPr="0007414B">
        <w:t>.</w:t>
      </w:r>
    </w:p>
    <w:p w14:paraId="51ABC585" w14:textId="77777777" w:rsidR="00395CB9" w:rsidRPr="0007414B" w:rsidRDefault="00395CB9" w:rsidP="00395CB9">
      <w:pPr>
        <w:pStyle w:val="Bullet"/>
      </w:pPr>
      <w:r w:rsidRPr="0007414B">
        <w:t>House prices have been rising at a faster rate than wages over the past 5 years.</w:t>
      </w:r>
      <w:r w:rsidRPr="0007414B" w:rsidDel="000E45DF">
        <w:t xml:space="preserve"> </w:t>
      </w:r>
      <w:r w:rsidRPr="0007414B">
        <w:t>In Auckland, the median house sales price in mid-2020 was about 11.5 times the median yearly household income.</w:t>
      </w:r>
    </w:p>
    <w:p w14:paraId="409DD252" w14:textId="77777777" w:rsidR="00395CB9" w:rsidRPr="0007414B" w:rsidRDefault="00395CB9" w:rsidP="00395CB9">
      <w:pPr>
        <w:pStyle w:val="Heading3"/>
      </w:pPr>
      <w:r w:rsidRPr="0007414B">
        <w:lastRenderedPageBreak/>
        <w:t>Housing suitability</w:t>
      </w:r>
    </w:p>
    <w:p w14:paraId="019A7952" w14:textId="77777777" w:rsidR="00395CB9" w:rsidRPr="0007414B" w:rsidRDefault="00395CB9" w:rsidP="00395CB9">
      <w:pPr>
        <w:pStyle w:val="Bullet"/>
        <w:rPr>
          <w:rFonts w:eastAsia="Noto Sans"/>
        </w:rPr>
      </w:pPr>
      <w:r w:rsidRPr="0007414B">
        <w:rPr>
          <w:rFonts w:eastAsia="Noto Sans"/>
        </w:rPr>
        <w:t xml:space="preserve">Overall, 1 in 5 New Zealanders lives in a home that was always or often too cold in winter. However, this rises to around 2 in 5 Pacific peoples </w:t>
      </w:r>
      <w:r w:rsidRPr="0007414B">
        <w:fldChar w:fldCharType="begin"/>
      </w:r>
      <w:r>
        <w:instrText xml:space="preserve"> ADDIN EN.CITE &lt;EndNote&gt;&lt;Cite&gt;&lt;Author&gt;Stats NZ&lt;/Author&gt;&lt;Year&gt;2020&lt;/Year&gt;&lt;RecNum&gt;306&lt;/RecNum&gt;&lt;DisplayText&gt;(Stats NZ 2020c)&lt;/DisplayText&gt;&lt;record&gt;&lt;rec-number&gt;306&lt;/rec-number&gt;&lt;foreign-keys&gt;&lt;key app="EN" db-id="aaepvppzs5wtfse95vsp2wahsrtvva2vvdet" timestamp="1683255164"&gt;306&lt;/key&gt;&lt;/foreign-keys&gt;&lt;ref-type name="Web Page"&gt;12&lt;/ref-type&gt;&lt;contributors&gt;&lt;authors&gt;&lt;author&gt;Stats NZ,&lt;/author&gt;&lt;/authors&gt;&lt;/contributors&gt;&lt;titles&gt;&lt;title&gt;Housing in Aotearoa: 2020&lt;/title&gt;&lt;/titles&gt;&lt;number&gt;5 May 2023&lt;/number&gt;&lt;dates&gt;&lt;year&gt;2020&lt;/year&gt;&lt;/dates&gt;&lt;urls&gt;&lt;related-urls&gt;&lt;url&gt;www.stats.govt.nz/reports/housing-in-aotearoa-2020&lt;/url&gt;&lt;/related-urls&gt;&lt;/urls&gt;&lt;/record&gt;&lt;/Cite&gt;&lt;/EndNote&gt;</w:instrText>
      </w:r>
      <w:r w:rsidRPr="0007414B">
        <w:fldChar w:fldCharType="separate"/>
      </w:r>
      <w:r w:rsidRPr="0007414B">
        <w:rPr>
          <w:noProof/>
        </w:rPr>
        <w:t>(Stats NZ 2020c)</w:t>
      </w:r>
      <w:r w:rsidRPr="0007414B">
        <w:fldChar w:fldCharType="end"/>
      </w:r>
      <w:r w:rsidRPr="0007414B">
        <w:rPr>
          <w:rFonts w:eastAsia="Noto Sans"/>
        </w:rPr>
        <w:t>.</w:t>
      </w:r>
    </w:p>
    <w:p w14:paraId="1E2CF6FD" w14:textId="77777777" w:rsidR="00395CB9" w:rsidRPr="0007414B" w:rsidRDefault="00395CB9" w:rsidP="00395CB9">
      <w:pPr>
        <w:pStyle w:val="Bullet"/>
        <w:rPr>
          <w:rFonts w:eastAsia="Noto Sans"/>
        </w:rPr>
      </w:pPr>
      <w:r w:rsidRPr="0007414B">
        <w:rPr>
          <w:rFonts w:eastAsia="Noto Sans"/>
        </w:rPr>
        <w:t>Housing problems such as cold, damp and mould are more common among households that are not owner-occupiers, do not have enough money for everyday needs and have</w:t>
      </w:r>
      <w:r w:rsidRPr="0007414B" w:rsidDel="000E45DF">
        <w:rPr>
          <w:rFonts w:eastAsia="Noto Sans"/>
        </w:rPr>
        <w:t xml:space="preserve"> </w:t>
      </w:r>
      <w:r w:rsidRPr="0007414B">
        <w:rPr>
          <w:rFonts w:eastAsia="Noto Sans"/>
        </w:rPr>
        <w:t>4 or more household members.</w:t>
      </w:r>
    </w:p>
    <w:p w14:paraId="3E0C043B" w14:textId="77777777" w:rsidR="00395CB9" w:rsidRPr="0007414B" w:rsidRDefault="00395CB9" w:rsidP="00395CB9">
      <w:pPr>
        <w:pStyle w:val="Bullet"/>
        <w:rPr>
          <w:rFonts w:eastAsia="Noto Sans"/>
        </w:rPr>
      </w:pPr>
      <w:r w:rsidRPr="0007414B">
        <w:rPr>
          <w:rFonts w:eastAsia="Noto Sans"/>
        </w:rPr>
        <w:t>Living in a house that is not suitable for multigenerational families, which leads to overcrowding, is related to increased health risks, particularly of transmitting infectious diseases. Almost 1 in 9 (10.8%) people in 2018 lived in a crowded house. Pacific peoples had the highest rates: more than 40% of those aged under 25 years lived in a crowded house and the rate was still above 25% for the oldest age groups.​</w:t>
      </w:r>
    </w:p>
    <w:p w14:paraId="6E0B12E0" w14:textId="77777777" w:rsidR="00395CB9" w:rsidRPr="0007414B" w:rsidRDefault="00395CB9" w:rsidP="00395CB9">
      <w:pPr>
        <w:pStyle w:val="Bullet"/>
        <w:rPr>
          <w:rFonts w:eastAsia="Noto Sans"/>
        </w:rPr>
      </w:pPr>
      <w:r w:rsidRPr="0007414B">
        <w:rPr>
          <w:rFonts w:eastAsia="Noto Sans"/>
        </w:rPr>
        <w:t xml:space="preserve">Māori also had higher rates of living in a crowded house than the total population. The rate was around 25% for those aged under 25 years and then gradually declined for older age groups </w:t>
      </w:r>
      <w:r w:rsidRPr="0007414B">
        <w:rPr>
          <w:rFonts w:eastAsia="Noto Sans"/>
        </w:rPr>
        <w:fldChar w:fldCharType="begin"/>
      </w:r>
      <w:r>
        <w:rPr>
          <w:rFonts w:eastAsia="Noto Sans"/>
        </w:rPr>
        <w:instrText xml:space="preserve"> ADDIN EN.CITE &lt;EndNote&gt;&lt;Cite&gt;&lt;Author&gt;Stats NZ&lt;/Author&gt;&lt;Year&gt;2020&lt;/Year&gt;&lt;RecNum&gt;306&lt;/RecNum&gt;&lt;DisplayText&gt;(Stats NZ 2020c)&lt;/DisplayText&gt;&lt;record&gt;&lt;rec-number&gt;306&lt;/rec-number&gt;&lt;foreign-keys&gt;&lt;key app="EN" db-id="aaepvppzs5wtfse95vsp2wahsrtvva2vvdet" timestamp="1683255164"&gt;306&lt;/key&gt;&lt;/foreign-keys&gt;&lt;ref-type name="Web Page"&gt;12&lt;/ref-type&gt;&lt;contributors&gt;&lt;authors&gt;&lt;author&gt;Stats NZ,&lt;/author&gt;&lt;/authors&gt;&lt;/contributors&gt;&lt;titles&gt;&lt;title&gt;Housing in Aotearoa: 2020&lt;/title&gt;&lt;/titles&gt;&lt;number&gt;5 May 2023&lt;/number&gt;&lt;dates&gt;&lt;year&gt;2020&lt;/year&gt;&lt;/dates&gt;&lt;urls&gt;&lt;related-urls&gt;&lt;url&gt;www.stats.govt.nz/reports/housing-in-aotearoa-2020&lt;/url&gt;&lt;/related-urls&gt;&lt;/urls&gt;&lt;/record&gt;&lt;/Cite&gt;&lt;/EndNote&gt;</w:instrText>
      </w:r>
      <w:r w:rsidRPr="0007414B">
        <w:rPr>
          <w:rFonts w:eastAsia="Noto Sans"/>
        </w:rPr>
        <w:fldChar w:fldCharType="separate"/>
      </w:r>
      <w:r w:rsidRPr="0007414B">
        <w:rPr>
          <w:rFonts w:eastAsia="Noto Sans"/>
          <w:noProof/>
        </w:rPr>
        <w:t>(Stats NZ 2020c)</w:t>
      </w:r>
      <w:r w:rsidRPr="0007414B">
        <w:rPr>
          <w:rFonts w:eastAsia="Noto Sans"/>
        </w:rPr>
        <w:fldChar w:fldCharType="end"/>
      </w:r>
      <w:r w:rsidRPr="0007414B">
        <w:rPr>
          <w:rFonts w:eastAsia="Noto Sans"/>
        </w:rPr>
        <w:t>.</w:t>
      </w:r>
    </w:p>
    <w:p w14:paraId="39E00FD0" w14:textId="77777777" w:rsidR="00395CB9" w:rsidRPr="0007414B" w:rsidRDefault="00395CB9" w:rsidP="00395CB9">
      <w:pPr>
        <w:pStyle w:val="Bullet"/>
        <w:rPr>
          <w:rFonts w:eastAsia="Noto Sans"/>
        </w:rPr>
      </w:pPr>
      <w:r w:rsidRPr="0007414B">
        <w:t xml:space="preserve">Compared with non-disabled people, disabled people were less likely to live in a suitable home that is warm and free from damp and mould. Disabled people also found it harder to access facilities such as doctors, medical centres and supermarkets </w:t>
      </w:r>
      <w:r w:rsidRPr="0007414B">
        <w:fldChar w:fldCharType="begin"/>
      </w:r>
      <w:r>
        <w:instrText xml:space="preserve"> ADDIN EN.CITE &lt;EndNote&gt;&lt;Cite&gt;&lt;Author&gt;Stats NZ&lt;/Author&gt;&lt;Year&gt;2020&lt;/Year&gt;&lt;RecNum&gt;287&lt;/RecNum&gt;&lt;DisplayText&gt;(Stats NZ 2020b)&lt;/DisplayText&gt;&lt;record&gt;&lt;rec-number&gt;287&lt;/rec-number&gt;&lt;foreign-keys&gt;&lt;key app="EN" db-id="aaepvppzs5wtfse95vsp2wahsrtvva2vvdet" timestamp="1683250203"&gt;287&lt;/key&gt;&lt;/foreign-keys&gt;&lt;ref-type name="Web Page"&gt;12&lt;/ref-type&gt;&lt;contributors&gt;&lt;authors&gt;&lt;author&gt;Stats NZ,&lt;/author&gt;&lt;/authors&gt;&lt;/contributors&gt;&lt;titles&gt;&lt;title&gt;Disabled people fare worse in their home, economic, and social lives&lt;/title&gt;&lt;/titles&gt;&lt;number&gt;5 May 2023&lt;/number&gt;&lt;dates&gt;&lt;year&gt;2020&lt;/year&gt;&lt;/dates&gt;&lt;urls&gt;&lt;related-urls&gt;&lt;url&gt;www.stats.govt.nz/news/disabled-people-fare-worse-in-their-home-economic-and-social-lives/&lt;/url&gt;&lt;/related-urls&gt;&lt;/urls&gt;&lt;/record&gt;&lt;/Cite&gt;&lt;/EndNote&gt;</w:instrText>
      </w:r>
      <w:r w:rsidRPr="0007414B">
        <w:fldChar w:fldCharType="separate"/>
      </w:r>
      <w:r w:rsidRPr="0007414B">
        <w:rPr>
          <w:noProof/>
        </w:rPr>
        <w:t>(Stats NZ 2020b)</w:t>
      </w:r>
      <w:r w:rsidRPr="0007414B">
        <w:fldChar w:fldCharType="end"/>
      </w:r>
      <w:r w:rsidRPr="0007414B">
        <w:t>.</w:t>
      </w:r>
    </w:p>
    <w:p w14:paraId="116946FD" w14:textId="77777777" w:rsidR="00395CB9" w:rsidRPr="0007414B" w:rsidRDefault="00395CB9" w:rsidP="00395CB9">
      <w:pPr>
        <w:pStyle w:val="Heading3"/>
      </w:pPr>
      <w:r w:rsidRPr="0007414B">
        <w:t>Homelessness</w:t>
      </w:r>
    </w:p>
    <w:p w14:paraId="0ED50971" w14:textId="77777777" w:rsidR="00395CB9" w:rsidRPr="0007414B" w:rsidRDefault="00395CB9" w:rsidP="00395CB9">
      <w:pPr>
        <w:rPr>
          <w:lang w:eastAsia="en-NZ"/>
        </w:rPr>
      </w:pPr>
      <w:r w:rsidRPr="0007414B">
        <w:rPr>
          <w:lang w:eastAsia="en-NZ"/>
        </w:rPr>
        <w:t xml:space="preserve">According to Stats NZ, an estimated 1% of the population was severely housing deprived on the night of the 2018 Census. Homelessness statistics measure 3 types of severe housing deprivation </w:t>
      </w:r>
      <w:r w:rsidRPr="0007414B">
        <w:rPr>
          <w:lang w:eastAsia="en-NZ"/>
        </w:rPr>
        <w:fldChar w:fldCharType="begin"/>
      </w:r>
      <w:r>
        <w:rPr>
          <w:lang w:eastAsia="en-NZ"/>
        </w:rPr>
        <w:instrText xml:space="preserve"> ADDIN EN.CITE &lt;EndNote&gt;&lt;Cite&gt;&lt;Author&gt;Stats NZ&lt;/Author&gt;&lt;Year&gt;2020&lt;/Year&gt;&lt;RecNum&gt;307&lt;/RecNum&gt;&lt;DisplayText&gt;(Stats NZ 2020d)&lt;/DisplayText&gt;&lt;record&gt;&lt;rec-number&gt;307&lt;/rec-number&gt;&lt;foreign-keys&gt;&lt;key app="EN" db-id="aaepvppzs5wtfse95vsp2wahsrtvva2vvdet" timestamp="1683255322"&gt;307&lt;/key&gt;&lt;/foreign-keys&gt;&lt;ref-type name="Web Page"&gt;12&lt;/ref-type&gt;&lt;contributors&gt;&lt;authors&gt;&lt;author&gt;Stats NZ,&lt;/author&gt;&lt;/authors&gt;&lt;/contributors&gt;&lt;titles&gt;&lt;title&gt;The state of housing in Aotearoa New Zealand&lt;/title&gt;&lt;/titles&gt;&lt;number&gt;5 May 2020&lt;/number&gt;&lt;dates&gt;&lt;year&gt;2020&lt;/year&gt;&lt;/dates&gt;&lt;urls&gt;&lt;related-urls&gt;&lt;url&gt;www.stats.govt.nz/infographics/the-state-of-housing-in-aotearoa-new-zealand&lt;/url&gt;&lt;/related-urls&gt;&lt;/urls&gt;&lt;/record&gt;&lt;/Cite&gt;&lt;/EndNote&gt;</w:instrText>
      </w:r>
      <w:r w:rsidRPr="0007414B">
        <w:rPr>
          <w:lang w:eastAsia="en-NZ"/>
        </w:rPr>
        <w:fldChar w:fldCharType="separate"/>
      </w:r>
      <w:r w:rsidRPr="0007414B">
        <w:rPr>
          <w:noProof/>
          <w:lang w:eastAsia="en-NZ"/>
        </w:rPr>
        <w:t>(Stats NZ 2020d)</w:t>
      </w:r>
      <w:r w:rsidRPr="0007414B">
        <w:rPr>
          <w:lang w:eastAsia="en-NZ"/>
        </w:rPr>
        <w:fldChar w:fldCharType="end"/>
      </w:r>
      <w:r w:rsidRPr="0007414B">
        <w:rPr>
          <w:lang w:eastAsia="en-NZ"/>
        </w:rPr>
        <w:t xml:space="preserve">. </w:t>
      </w:r>
    </w:p>
    <w:p w14:paraId="1DD7EA00" w14:textId="77777777" w:rsidR="00395CB9" w:rsidRPr="0007414B" w:rsidRDefault="00395CB9" w:rsidP="00395CB9">
      <w:pPr>
        <w:rPr>
          <w:b/>
        </w:rPr>
      </w:pPr>
    </w:p>
    <w:p w14:paraId="7F38D372" w14:textId="77777777" w:rsidR="00395CB9" w:rsidRPr="0007414B" w:rsidRDefault="00395CB9" w:rsidP="00395CB9">
      <w:pPr>
        <w:rPr>
          <w:rFonts w:eastAsia="Noto Sans"/>
          <w:color w:val="000000" w:themeColor="text1"/>
        </w:rPr>
      </w:pPr>
      <w:r w:rsidRPr="0007414B">
        <w:rPr>
          <w:rFonts w:eastAsia="Noto Sans"/>
          <w:color w:val="000000" w:themeColor="text1"/>
        </w:rPr>
        <w:t>At the time of the 2018 Census, 41,644 people were severely housing deprived. They included:</w:t>
      </w:r>
    </w:p>
    <w:p w14:paraId="4214A743" w14:textId="77777777" w:rsidR="00395CB9" w:rsidRPr="0007414B" w:rsidRDefault="00395CB9" w:rsidP="00395CB9">
      <w:pPr>
        <w:pStyle w:val="Bullet"/>
      </w:pPr>
      <w:r w:rsidRPr="0007414B">
        <w:t>3,522 people without shelter (for example, rough sleepers, improvised dwellings)</w:t>
      </w:r>
    </w:p>
    <w:p w14:paraId="2D619014" w14:textId="77777777" w:rsidR="00395CB9" w:rsidRPr="0007414B" w:rsidRDefault="00395CB9" w:rsidP="00395CB9">
      <w:pPr>
        <w:pStyle w:val="Bullet"/>
      </w:pPr>
      <w:r w:rsidRPr="0007414B">
        <w:t>7,567 people in temporary accommodation, such as a night shelter or motel</w:t>
      </w:r>
    </w:p>
    <w:p w14:paraId="12E127D5" w14:textId="09DFCDAF" w:rsidR="00395CB9" w:rsidRDefault="00395CB9" w:rsidP="00395CB9">
      <w:pPr>
        <w:pStyle w:val="Bullet"/>
      </w:pPr>
      <w:r w:rsidRPr="0007414B">
        <w:t>30,555 people sharing accommodation (as a temporary resident in a severely crowded private dwelling).</w:t>
      </w:r>
    </w:p>
    <w:p w14:paraId="6CE0A5C2" w14:textId="77777777" w:rsidR="00395CB9" w:rsidRPr="0007414B" w:rsidRDefault="00395CB9" w:rsidP="00395CB9">
      <w:pPr>
        <w:pStyle w:val="Heading2"/>
      </w:pPr>
      <w:bookmarkStart w:id="118" w:name="_Toc138326932"/>
      <w:bookmarkStart w:id="119" w:name="_Toc139030818"/>
      <w:r w:rsidRPr="0007414B">
        <w:t>Employment and income</w:t>
      </w:r>
      <w:bookmarkEnd w:id="118"/>
      <w:bookmarkEnd w:id="119"/>
      <w:r w:rsidRPr="0007414B">
        <w:t xml:space="preserve">  </w:t>
      </w:r>
    </w:p>
    <w:p w14:paraId="0143E8DC" w14:textId="77777777" w:rsidR="00395CB9" w:rsidRPr="0007414B" w:rsidRDefault="00395CB9" w:rsidP="00395CB9">
      <w:pPr>
        <w:rPr>
          <w:rFonts w:cs="Segoe UI"/>
        </w:rPr>
      </w:pPr>
      <w:r w:rsidRPr="0007414B">
        <w:rPr>
          <w:rFonts w:cs="Segoe UI"/>
        </w:rPr>
        <w:t xml:space="preserve">Persistent labour market gaps remain for disabled people </w:t>
      </w:r>
      <w:r w:rsidRPr="0007414B">
        <w:rPr>
          <w:rFonts w:cs="Segoe UI"/>
        </w:rPr>
        <w:fldChar w:fldCharType="begin"/>
      </w:r>
      <w:r>
        <w:rPr>
          <w:rFonts w:cs="Segoe UI"/>
        </w:rPr>
        <w:instrText xml:space="preserve"> ADDIN EN.CITE &lt;EndNote&gt;&lt;Cite&gt;&lt;Author&gt;Stats NZ&lt;/Author&gt;&lt;Year&gt;2022&lt;/Year&gt;&lt;RecNum&gt;305&lt;/RecNum&gt;&lt;DisplayText&gt;(Stats NZ 2022e)&lt;/DisplayText&gt;&lt;record&gt;&lt;rec-number&gt;305&lt;/rec-number&gt;&lt;foreign-keys&gt;&lt;key app="EN" db-id="aaepvppzs5wtfse95vsp2wahsrtvva2vvdet" timestamp="1683255008"&gt;305&lt;/key&gt;&lt;/foreign-keys&gt;&lt;ref-type name="Web Page"&gt;12&lt;/ref-type&gt;&lt;contributors&gt;&lt;authors&gt;&lt;author&gt;Stats NZ,&lt;/author&gt;&lt;/authors&gt;&lt;/contributors&gt;&lt;titles&gt;&lt;title&gt;Persistent labour market gaps remain for disabled people&lt;/title&gt;&lt;/titles&gt;&lt;number&gt;5 May 2023&lt;/number&gt;&lt;dates&gt;&lt;year&gt;2022&lt;/year&gt;&lt;/dates&gt;&lt;urls&gt;&lt;related-urls&gt;&lt;url&gt;www.stats.govt.nz/news/persistent-labour-market-gaps-remain-for-disabled-people/&lt;/url&gt;&lt;/related-urls&gt;&lt;/urls&gt;&lt;/record&gt;&lt;/Cite&gt;&lt;/EndNote&gt;</w:instrText>
      </w:r>
      <w:r w:rsidRPr="0007414B">
        <w:rPr>
          <w:rFonts w:cs="Segoe UI"/>
        </w:rPr>
        <w:fldChar w:fldCharType="separate"/>
      </w:r>
      <w:r w:rsidRPr="0007414B">
        <w:rPr>
          <w:rFonts w:cs="Segoe UI"/>
          <w:noProof/>
        </w:rPr>
        <w:t>(Stats NZ 2022e)</w:t>
      </w:r>
      <w:r w:rsidRPr="0007414B">
        <w:rPr>
          <w:rFonts w:cs="Segoe UI"/>
        </w:rPr>
        <w:fldChar w:fldCharType="end"/>
      </w:r>
      <w:r w:rsidRPr="0007414B">
        <w:rPr>
          <w:rFonts w:cs="Segoe UI"/>
        </w:rPr>
        <w:t>. While unemployment was low overall in the June 2022 quarter, disabled people experienced unemployment at higher rates than non-disabled people. Among people aged 15–64 years, the unemployment rate was 7.9% for disabled people and 3.3% for non-disabled people.</w:t>
      </w:r>
    </w:p>
    <w:p w14:paraId="2548EA42" w14:textId="77777777" w:rsidR="00395CB9" w:rsidRPr="0007414B" w:rsidRDefault="00395CB9" w:rsidP="00395CB9">
      <w:pPr>
        <w:rPr>
          <w:rFonts w:cs="Segoe UI"/>
          <w:szCs w:val="21"/>
        </w:rPr>
      </w:pPr>
    </w:p>
    <w:p w14:paraId="794FB181" w14:textId="77777777" w:rsidR="00395CB9" w:rsidRPr="0007414B" w:rsidRDefault="00395CB9" w:rsidP="00395CB9">
      <w:pPr>
        <w:rPr>
          <w:rFonts w:cs="Segoe UI"/>
        </w:rPr>
      </w:pPr>
      <w:r w:rsidRPr="0007414B">
        <w:rPr>
          <w:rFonts w:cs="Segoe UI"/>
        </w:rPr>
        <w:t>Disabled people are much less likely to be participating in the labour force or be employed than non-disabled people. For those aged 15–64 years, the labour force participation rate was 45.0% for disabled people and 83.1% for non-disabled people in the June 2022 quarter.</w:t>
      </w:r>
    </w:p>
    <w:p w14:paraId="01598ACE" w14:textId="77777777" w:rsidR="00395CB9" w:rsidRPr="0007414B" w:rsidRDefault="00395CB9" w:rsidP="00395CB9">
      <w:pPr>
        <w:rPr>
          <w:rFonts w:eastAsia="DengXian Light" w:cs="Segoe UI"/>
        </w:rPr>
      </w:pPr>
    </w:p>
    <w:p w14:paraId="632EB01D" w14:textId="77777777" w:rsidR="00395CB9" w:rsidRPr="0007414B" w:rsidRDefault="00395CB9" w:rsidP="00395CB9">
      <w:pPr>
        <w:rPr>
          <w:rFonts w:cs="Segoe UI"/>
        </w:rPr>
      </w:pPr>
      <w:r w:rsidRPr="0007414B">
        <w:rPr>
          <w:rFonts w:cs="Segoe UI"/>
        </w:rPr>
        <w:lastRenderedPageBreak/>
        <w:t>Disabled wage and salary earners received no significant increases to either hourly or weekly median earnings in the year to the June 2022 quarter.</w:t>
      </w:r>
      <w:r w:rsidRPr="0007414B" w:rsidDel="006B3337">
        <w:rPr>
          <w:rFonts w:cs="Segoe UI"/>
        </w:rPr>
        <w:t xml:space="preserve"> </w:t>
      </w:r>
      <w:r w:rsidRPr="0007414B">
        <w:rPr>
          <w:rFonts w:cs="Segoe UI"/>
        </w:rPr>
        <w:t>Median weekly income from wages and salaries was $960 for disabled people, $240 lower than the median of</w:t>
      </w:r>
      <w:r w:rsidRPr="0007414B" w:rsidDel="006B3337">
        <w:rPr>
          <w:rFonts w:cs="Segoe UI"/>
        </w:rPr>
        <w:t xml:space="preserve"> </w:t>
      </w:r>
      <w:r w:rsidRPr="0007414B">
        <w:rPr>
          <w:rFonts w:cs="Segoe UI"/>
        </w:rPr>
        <w:t>$1,200 for non-disabled people.</w:t>
      </w:r>
    </w:p>
    <w:p w14:paraId="28E81146" w14:textId="77777777" w:rsidR="00395CB9" w:rsidRPr="0007414B" w:rsidRDefault="00395CB9" w:rsidP="00395CB9">
      <w:pPr>
        <w:pStyle w:val="Heading2"/>
        <w:rPr>
          <w:rFonts w:cs="Segoe UI"/>
        </w:rPr>
      </w:pPr>
      <w:bookmarkStart w:id="120" w:name="_Toc138326933"/>
      <w:bookmarkStart w:id="121" w:name="_Toc139030819"/>
      <w:r w:rsidRPr="0007414B">
        <w:rPr>
          <w:rFonts w:cs="Segoe UI"/>
        </w:rPr>
        <w:t>Health risks and protective factors</w:t>
      </w:r>
      <w:bookmarkEnd w:id="120"/>
      <w:bookmarkEnd w:id="121"/>
      <w:r w:rsidRPr="0007414B">
        <w:rPr>
          <w:rFonts w:cs="Segoe UI"/>
        </w:rPr>
        <w:t xml:space="preserve"> </w:t>
      </w:r>
    </w:p>
    <w:p w14:paraId="69EB8205" w14:textId="77777777" w:rsidR="00395CB9" w:rsidRPr="0007414B" w:rsidRDefault="00395CB9" w:rsidP="00395CB9">
      <w:pPr>
        <w:pStyle w:val="Heading3"/>
      </w:pPr>
      <w:r w:rsidRPr="0007414B">
        <w:t>Tobacco</w:t>
      </w:r>
    </w:p>
    <w:p w14:paraId="0AE7E09F" w14:textId="77777777" w:rsidR="00395CB9" w:rsidRPr="00042E21" w:rsidRDefault="00395CB9" w:rsidP="00395CB9">
      <w:pPr>
        <w:rPr>
          <w:rFonts w:cs="Segoe UI"/>
          <w:color w:val="000000" w:themeColor="text1"/>
          <w:lang w:eastAsia="en-NZ"/>
        </w:rPr>
      </w:pPr>
      <w:r w:rsidRPr="00042E21">
        <w:rPr>
          <w:rFonts w:cs="Segoe UI"/>
          <w:color w:val="000000" w:themeColor="text1"/>
          <w:lang w:eastAsia="en-NZ"/>
        </w:rPr>
        <w:t xml:space="preserve">Smoking tobacco products kills about 4,500 to 5,000 people every year in Aotearoa New Zealand. That is around 12 to 13 deaths every day due to smoking or exposure to second-hand smoke </w:t>
      </w:r>
      <w:r w:rsidRPr="00042E21">
        <w:rPr>
          <w:rFonts w:cs="Segoe UI"/>
          <w:color w:val="000000" w:themeColor="text1"/>
          <w:lang w:eastAsia="en-NZ"/>
        </w:rPr>
        <w:fldChar w:fldCharType="begin"/>
      </w:r>
      <w:r w:rsidRPr="00042E21">
        <w:rPr>
          <w:rFonts w:cs="Segoe UI"/>
          <w:color w:val="000000" w:themeColor="text1"/>
          <w:lang w:eastAsia="en-NZ"/>
        </w:rPr>
        <w:instrText xml:space="preserve"> ADDIN EN.CITE &lt;EndNote&gt;&lt;Cite&gt;&lt;Author&gt;Manatū Hauora&lt;/Author&gt;&lt;Year&gt;2021&lt;/Year&gt;&lt;RecNum&gt;192&lt;/RecNum&gt;&lt;DisplayText&gt;(Manatū Hauora 2021c)&lt;/DisplayText&gt;&lt;record&gt;&lt;rec-number&gt;192&lt;/rec-number&gt;&lt;foreign-keys&gt;&lt;key app="EN" db-id="aaepvppzs5wtfse95vsp2wahsrtvva2vvdet" timestamp="1663732280"&gt;192&lt;/key&gt;&lt;/foreign-keys&gt;&lt;ref-type name="Web Page"&gt;12&lt;/ref-type&gt;&lt;contributors&gt;&lt;authors&gt;&lt;author&gt;&lt;style face="normal" font="default" size="100%"&gt;Manat&lt;/style&gt;&lt;style face="normal" font="default" charset="238" size="100%"&gt;ū Hauora,&lt;/style&gt;&lt;/author&gt;&lt;/authors&gt;&lt;/contributors&gt;&lt;titles&gt;&lt;title&gt;Smokefree Aotearoa 2025 Action Plan - Auahi Kore Aotearoa Mahere Rautaki 2025&lt;/title&gt;&lt;/titles&gt;&lt;number&gt;5 May 2023&lt;/number&gt;&lt;dates&gt;&lt;year&gt;2021&lt;/year&gt;&lt;/dates&gt;&lt;urls&gt;&lt;related-urls&gt;&lt;url&gt;www.health.govt.nz/publication/smokefree-aotearoa-2025-action-plan-auahi-kore-aotearoa-mahere-rautaki-2025&lt;/url&gt;&lt;/related-urls&gt;&lt;/urls&gt;&lt;/record&gt;&lt;/Cite&gt;&lt;/EndNote&gt;</w:instrText>
      </w:r>
      <w:r w:rsidRPr="00042E21">
        <w:rPr>
          <w:rFonts w:cs="Segoe UI"/>
          <w:color w:val="000000" w:themeColor="text1"/>
          <w:lang w:eastAsia="en-NZ"/>
        </w:rPr>
        <w:fldChar w:fldCharType="separate"/>
      </w:r>
      <w:r w:rsidRPr="00042E21">
        <w:rPr>
          <w:rFonts w:cs="Segoe UI"/>
          <w:noProof/>
          <w:color w:val="000000" w:themeColor="text1"/>
          <w:lang w:eastAsia="en-NZ"/>
        </w:rPr>
        <w:t>(Manatū Hauora 2021c)</w:t>
      </w:r>
      <w:r w:rsidRPr="00042E21">
        <w:rPr>
          <w:rFonts w:cs="Segoe UI"/>
          <w:color w:val="000000" w:themeColor="text1"/>
          <w:lang w:eastAsia="en-NZ"/>
        </w:rPr>
        <w:fldChar w:fldCharType="end"/>
      </w:r>
      <w:r w:rsidRPr="00042E21">
        <w:rPr>
          <w:rFonts w:cs="Segoe UI"/>
          <w:color w:val="000000" w:themeColor="text1"/>
          <w:lang w:eastAsia="en-NZ"/>
        </w:rPr>
        <w:t xml:space="preserve">. Key goals of the </w:t>
      </w:r>
      <w:hyperlink r:id="rId81">
        <w:r w:rsidRPr="00042E21">
          <w:rPr>
            <w:rStyle w:val="Hyperlink"/>
            <w:rFonts w:cs="Segoe UI"/>
            <w:color w:val="000000" w:themeColor="text1"/>
            <w:lang w:eastAsia="en-NZ"/>
          </w:rPr>
          <w:t>Smokefree Aotearoa 2025 Action Plan</w:t>
        </w:r>
      </w:hyperlink>
      <w:r w:rsidRPr="00042E21">
        <w:rPr>
          <w:rFonts w:cs="Segoe UI"/>
          <w:color w:val="000000" w:themeColor="text1"/>
          <w:lang w:eastAsia="en-NZ"/>
        </w:rPr>
        <w:t xml:space="preserve"> are to eliminate inequities in smoking rates and smoking-related illness, and to reach a daily smoking prevalence of less than 5% for all population groups </w:t>
      </w:r>
      <w:r w:rsidRPr="00042E21">
        <w:rPr>
          <w:rFonts w:cs="Segoe UI"/>
          <w:color w:val="000000" w:themeColor="text1"/>
          <w:lang w:eastAsia="en-NZ"/>
        </w:rPr>
        <w:fldChar w:fldCharType="begin"/>
      </w:r>
      <w:r w:rsidRPr="00042E21">
        <w:rPr>
          <w:rFonts w:cs="Segoe UI"/>
          <w:color w:val="000000" w:themeColor="text1"/>
          <w:lang w:eastAsia="en-NZ"/>
        </w:rPr>
        <w:instrText xml:space="preserve"> ADDIN EN.CITE &lt;EndNote&gt;&lt;Cite&gt;&lt;Author&gt;Manatū Hauora&lt;/Author&gt;&lt;Year&gt;2021&lt;/Year&gt;&lt;RecNum&gt;192&lt;/RecNum&gt;&lt;DisplayText&gt;(Manatū Hauora 2021c)&lt;/DisplayText&gt;&lt;record&gt;&lt;rec-number&gt;192&lt;/rec-number&gt;&lt;foreign-keys&gt;&lt;key app="EN" db-id="aaepvppzs5wtfse95vsp2wahsrtvva2vvdet" timestamp="1663732280"&gt;192&lt;/key&gt;&lt;/foreign-keys&gt;&lt;ref-type name="Web Page"&gt;12&lt;/ref-type&gt;&lt;contributors&gt;&lt;authors&gt;&lt;author&gt;&lt;style face="normal" font="default" size="100%"&gt;Manat&lt;/style&gt;&lt;style face="normal" font="default" charset="238" size="100%"&gt;ū Hauora,&lt;/style&gt;&lt;/author&gt;&lt;/authors&gt;&lt;/contributors&gt;&lt;titles&gt;&lt;title&gt;Smokefree Aotearoa 2025 Action Plan - Auahi Kore Aotearoa Mahere Rautaki 2025&lt;/title&gt;&lt;/titles&gt;&lt;number&gt;5 May 2023&lt;/number&gt;&lt;dates&gt;&lt;year&gt;2021&lt;/year&gt;&lt;/dates&gt;&lt;urls&gt;&lt;related-urls&gt;&lt;url&gt;www.health.govt.nz/publication/smokefree-aotearoa-2025-action-plan-auahi-kore-aotearoa-mahere-rautaki-2025&lt;/url&gt;&lt;/related-urls&gt;&lt;/urls&gt;&lt;/record&gt;&lt;/Cite&gt;&lt;/EndNote&gt;</w:instrText>
      </w:r>
      <w:r w:rsidRPr="00042E21">
        <w:rPr>
          <w:rFonts w:cs="Segoe UI"/>
          <w:color w:val="000000" w:themeColor="text1"/>
          <w:lang w:eastAsia="en-NZ"/>
        </w:rPr>
        <w:fldChar w:fldCharType="separate"/>
      </w:r>
      <w:r w:rsidRPr="00042E21">
        <w:rPr>
          <w:rFonts w:cs="Segoe UI"/>
          <w:noProof/>
          <w:color w:val="000000" w:themeColor="text1"/>
          <w:lang w:eastAsia="en-NZ"/>
        </w:rPr>
        <w:t>(Manatū Hauora 2021c)</w:t>
      </w:r>
      <w:r w:rsidRPr="00042E21">
        <w:rPr>
          <w:rFonts w:cs="Segoe UI"/>
          <w:color w:val="000000" w:themeColor="text1"/>
          <w:lang w:eastAsia="en-NZ"/>
        </w:rPr>
        <w:fldChar w:fldCharType="end"/>
      </w:r>
      <w:r w:rsidRPr="00042E21">
        <w:rPr>
          <w:rFonts w:cs="Segoe UI"/>
          <w:color w:val="000000" w:themeColor="text1"/>
          <w:lang w:eastAsia="en-NZ"/>
        </w:rPr>
        <w:t>.</w:t>
      </w:r>
    </w:p>
    <w:p w14:paraId="7CA0EF54" w14:textId="77777777" w:rsidR="00395CB9" w:rsidRPr="00042E21" w:rsidRDefault="00395CB9" w:rsidP="00395CB9">
      <w:pPr>
        <w:rPr>
          <w:rFonts w:cs="Segoe UI"/>
          <w:color w:val="000000" w:themeColor="text1"/>
          <w:szCs w:val="21"/>
          <w:lang w:eastAsia="en-NZ"/>
        </w:rPr>
      </w:pPr>
    </w:p>
    <w:p w14:paraId="450A52DD" w14:textId="77777777" w:rsidR="00395CB9" w:rsidRPr="00042E21" w:rsidRDefault="00395CB9" w:rsidP="00395CB9">
      <w:pPr>
        <w:rPr>
          <w:rFonts w:cs="Segoe UI"/>
          <w:color w:val="000000" w:themeColor="text1"/>
        </w:rPr>
      </w:pPr>
      <w:r w:rsidRPr="00042E21">
        <w:rPr>
          <w:rFonts w:eastAsia="DengXian Light" w:cs="Segoe UI"/>
          <w:color w:val="000000" w:themeColor="text1"/>
        </w:rPr>
        <w:t xml:space="preserve">According to the Health Survey, </w:t>
      </w:r>
      <w:r w:rsidRPr="00042E21">
        <w:rPr>
          <w:rFonts w:eastAsia="Calibri Light" w:cs="Segoe UI"/>
          <w:color w:val="000000" w:themeColor="text1"/>
        </w:rPr>
        <w:t>in the 3-year pooled period ending 2021/22</w:t>
      </w:r>
      <w:r w:rsidRPr="00042E21">
        <w:rPr>
          <w:rFonts w:cs="Segoe UI"/>
          <w:color w:val="000000" w:themeColor="text1"/>
        </w:rPr>
        <w:t>, 9.7% of adults were daily smokers.</w:t>
      </w:r>
      <w:r w:rsidRPr="00042E21">
        <w:rPr>
          <w:rStyle w:val="FootnoteReference"/>
          <w:rFonts w:cs="Segoe UI"/>
          <w:color w:val="000000" w:themeColor="text1"/>
        </w:rPr>
        <w:footnoteReference w:id="15"/>
      </w:r>
      <w:r w:rsidRPr="00042E21">
        <w:rPr>
          <w:rFonts w:cs="Segoe UI"/>
          <w:color w:val="000000" w:themeColor="text1"/>
        </w:rPr>
        <w:t xml:space="preserve"> This was down from 16.0% in the 3-year pooled period ending 2013/14 </w:t>
      </w:r>
      <w:r w:rsidRPr="00042E21">
        <w:rPr>
          <w:rFonts w:cs="Segoe UI"/>
          <w:color w:val="000000" w:themeColor="text1"/>
        </w:rPr>
        <w:fldChar w:fldCharType="begin"/>
      </w:r>
      <w:r w:rsidRPr="00042E21">
        <w:rPr>
          <w:rFonts w:cs="Segoe UI"/>
          <w:color w:val="000000" w:themeColor="text1"/>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42E21">
        <w:rPr>
          <w:rFonts w:cs="Segoe UI"/>
          <w:color w:val="000000" w:themeColor="text1"/>
        </w:rPr>
        <w:fldChar w:fldCharType="separate"/>
      </w:r>
      <w:r w:rsidRPr="00042E21">
        <w:rPr>
          <w:rFonts w:cs="Segoe UI"/>
          <w:color w:val="000000" w:themeColor="text1"/>
        </w:rPr>
        <w:t>(Manatū Hauora 2023a)</w:t>
      </w:r>
      <w:r w:rsidRPr="00042E21">
        <w:rPr>
          <w:rFonts w:cs="Segoe UI"/>
          <w:color w:val="000000" w:themeColor="text1"/>
        </w:rPr>
        <w:fldChar w:fldCharType="end"/>
      </w:r>
      <w:r w:rsidRPr="00042E21">
        <w:rPr>
          <w:rFonts w:cs="Segoe UI"/>
          <w:color w:val="000000" w:themeColor="text1"/>
        </w:rPr>
        <w:t xml:space="preserve">. </w:t>
      </w:r>
    </w:p>
    <w:p w14:paraId="3819D11C" w14:textId="77777777" w:rsidR="00395CB9" w:rsidRPr="00042E21" w:rsidRDefault="00395CB9" w:rsidP="00395CB9">
      <w:pPr>
        <w:rPr>
          <w:rFonts w:cs="Segoe UI"/>
          <w:color w:val="000000" w:themeColor="text1"/>
          <w:szCs w:val="21"/>
        </w:rPr>
      </w:pPr>
    </w:p>
    <w:p w14:paraId="5177FD6E" w14:textId="77777777" w:rsidR="00395CB9" w:rsidRPr="00042E21" w:rsidRDefault="00395CB9" w:rsidP="00395CB9">
      <w:pPr>
        <w:rPr>
          <w:rFonts w:cs="Segoe UI"/>
          <w:color w:val="000000" w:themeColor="text1"/>
        </w:rPr>
      </w:pPr>
      <w:r w:rsidRPr="00042E21">
        <w:rPr>
          <w:rFonts w:cs="Segoe UI"/>
          <w:color w:val="000000" w:themeColor="text1"/>
        </w:rPr>
        <w:t xml:space="preserve">The decrease in rates of daily smoking in </w:t>
      </w:r>
      <w:r w:rsidRPr="00042E21">
        <w:rPr>
          <w:rFonts w:eastAsia="Calibri Light" w:cs="Segoe UI"/>
          <w:color w:val="000000" w:themeColor="text1"/>
        </w:rPr>
        <w:t xml:space="preserve">the 3-year pooled period ending 2021/22 occurred </w:t>
      </w:r>
      <w:r w:rsidRPr="00042E21">
        <w:rPr>
          <w:rFonts w:cs="Segoe UI"/>
          <w:color w:val="000000" w:themeColor="text1"/>
        </w:rPr>
        <w:t xml:space="preserve">across all population groups. However, substantial inequities remain. </w:t>
      </w:r>
    </w:p>
    <w:p w14:paraId="03425223" w14:textId="77777777" w:rsidR="00395CB9" w:rsidRPr="0007414B" w:rsidRDefault="00395CB9" w:rsidP="00395CB9">
      <w:pPr>
        <w:pStyle w:val="Bullet"/>
        <w:rPr>
          <w:i/>
        </w:rPr>
      </w:pPr>
      <w:r w:rsidRPr="00042E21">
        <w:rPr>
          <w:color w:val="000000" w:themeColor="text1"/>
        </w:rPr>
        <w:t xml:space="preserve">Daily </w:t>
      </w:r>
      <w:r w:rsidRPr="0007414B">
        <w:t>smoking rates differed widely between ethnic groups: 23.5% for Māori, 17.6% for Pacific peoples, 8.5% for the European/other</w:t>
      </w:r>
      <w:r w:rsidRPr="0007414B" w:rsidDel="006B3337">
        <w:t xml:space="preserve"> </w:t>
      </w:r>
      <w:r w:rsidRPr="0007414B">
        <w:t>population and 4.6% for Asian peoples.</w:t>
      </w:r>
    </w:p>
    <w:p w14:paraId="2255AEC8" w14:textId="77777777" w:rsidR="00395CB9" w:rsidRPr="0007414B" w:rsidRDefault="00395CB9" w:rsidP="00395CB9">
      <w:pPr>
        <w:pStyle w:val="Bullet"/>
        <w:rPr>
          <w:szCs w:val="21"/>
        </w:rPr>
      </w:pPr>
      <w:r w:rsidRPr="0007414B">
        <w:rPr>
          <w:szCs w:val="21"/>
        </w:rPr>
        <w:t>Among</w:t>
      </w:r>
      <w:r w:rsidRPr="0007414B" w:rsidDel="006B3337">
        <w:rPr>
          <w:szCs w:val="21"/>
        </w:rPr>
        <w:t xml:space="preserve"> </w:t>
      </w:r>
      <w:r w:rsidRPr="0007414B">
        <w:rPr>
          <w:szCs w:val="21"/>
        </w:rPr>
        <w:t>adults living in the most deprived areas, 20.5% were daily smokers, compared with 4.3% of adults living in the least deprived areas.</w:t>
      </w:r>
    </w:p>
    <w:p w14:paraId="4C1EECA0" w14:textId="77777777" w:rsidR="00395CB9" w:rsidRPr="0007414B" w:rsidRDefault="00395CB9" w:rsidP="00395CB9">
      <w:pPr>
        <w:pStyle w:val="Bullet"/>
        <w:rPr>
          <w:szCs w:val="21"/>
        </w:rPr>
      </w:pPr>
      <w:r w:rsidRPr="0007414B">
        <w:rPr>
          <w:szCs w:val="21"/>
        </w:rPr>
        <w:t>At 15.0%, the</w:t>
      </w:r>
      <w:r w:rsidRPr="0007414B" w:rsidDel="00953FEE">
        <w:rPr>
          <w:szCs w:val="21"/>
        </w:rPr>
        <w:t xml:space="preserve"> </w:t>
      </w:r>
      <w:r w:rsidRPr="0007414B">
        <w:rPr>
          <w:szCs w:val="21"/>
        </w:rPr>
        <w:t>percentage of disabled adults who were daily smokers</w:t>
      </w:r>
      <w:r w:rsidRPr="0007414B" w:rsidDel="00953FEE">
        <w:rPr>
          <w:szCs w:val="21"/>
        </w:rPr>
        <w:t xml:space="preserve"> </w:t>
      </w:r>
      <w:r w:rsidRPr="0007414B">
        <w:rPr>
          <w:szCs w:val="21"/>
        </w:rPr>
        <w:t>was higher than</w:t>
      </w:r>
      <w:r w:rsidRPr="0007414B" w:rsidDel="00953FEE">
        <w:rPr>
          <w:szCs w:val="21"/>
        </w:rPr>
        <w:t xml:space="preserve"> </w:t>
      </w:r>
      <w:r w:rsidRPr="0007414B">
        <w:rPr>
          <w:szCs w:val="21"/>
        </w:rPr>
        <w:t xml:space="preserve">for non-disabled adults (9.2%). </w:t>
      </w:r>
    </w:p>
    <w:p w14:paraId="596888EB" w14:textId="2C9A08DA" w:rsidR="00395CB9" w:rsidRDefault="00395CB9" w:rsidP="00395CB9">
      <w:pPr>
        <w:pStyle w:val="Bullet"/>
      </w:pPr>
      <w:r>
        <w:t>People living rurally were more likely to be daily smokers (14.3%) than people in urban areas (7.9%).</w:t>
      </w:r>
    </w:p>
    <w:p w14:paraId="2C526D69" w14:textId="250A94C2" w:rsidR="00395CB9" w:rsidRDefault="00395CB9" w:rsidP="00395CB9"/>
    <w:p w14:paraId="7D80CAA4" w14:textId="5EF30DAC" w:rsidR="00395CB9" w:rsidRPr="00BC3822" w:rsidRDefault="00395CB9" w:rsidP="00395CB9">
      <w:r w:rsidRPr="00BC3822">
        <w:fldChar w:fldCharType="begin"/>
      </w:r>
      <w:r w:rsidRPr="0007414B">
        <w:instrText xml:space="preserve"> REF _Ref135381667 \h  \* MERGEFORMAT </w:instrText>
      </w:r>
      <w:r w:rsidRPr="00BC3822">
        <w:fldChar w:fldCharType="separate"/>
      </w:r>
      <w:r w:rsidR="00BE208D">
        <w:t>Figure 24</w:t>
      </w:r>
      <w:r w:rsidRPr="00BC3822">
        <w:fldChar w:fldCharType="end"/>
      </w:r>
      <w:r w:rsidRPr="00BC3822">
        <w:t xml:space="preserve"> shows a 3-year rolling average of rates of daily smoking by ethnic group between the 3-year pooled periods of 2013/14 and 2021/22.</w:t>
      </w:r>
    </w:p>
    <w:p w14:paraId="50EADF4E" w14:textId="77777777" w:rsidR="00395CB9" w:rsidRDefault="00395CB9" w:rsidP="00395CB9"/>
    <w:p w14:paraId="5D858921" w14:textId="2F519176" w:rsidR="00395CB9" w:rsidRPr="0007414B" w:rsidRDefault="00395CB9" w:rsidP="00395CB9">
      <w:pPr>
        <w:pStyle w:val="Figure"/>
      </w:pPr>
      <w:bookmarkStart w:id="122" w:name="_Ref133399281"/>
      <w:bookmarkStart w:id="123" w:name="_Ref135381667"/>
      <w:bookmarkStart w:id="124" w:name="_Toc138326966"/>
      <w:bookmarkStart w:id="125" w:name="_Toc138409947"/>
      <w:r>
        <w:lastRenderedPageBreak/>
        <w:t xml:space="preserve">Figure </w:t>
      </w:r>
      <w:fldSimple w:instr=" SEQ Figure \* ARABIC ">
        <w:r w:rsidR="00BE208D">
          <w:rPr>
            <w:noProof/>
          </w:rPr>
          <w:t>24</w:t>
        </w:r>
      </w:fldSimple>
      <w:bookmarkEnd w:id="122"/>
      <w:bookmarkEnd w:id="123"/>
      <w:r>
        <w:t>: Daily smoking rates, by ethnic group, 3-year rolling average 2013/14–2021/22</w:t>
      </w:r>
      <w:bookmarkEnd w:id="124"/>
      <w:bookmarkEnd w:id="125"/>
    </w:p>
    <w:p w14:paraId="66EA9000" w14:textId="77777777" w:rsidR="00395CB9" w:rsidRPr="0007414B" w:rsidRDefault="00395CB9" w:rsidP="00395CB9">
      <w:pPr>
        <w:rPr>
          <w:rFonts w:cs="Segoe UI"/>
        </w:rPr>
      </w:pPr>
      <w:r w:rsidRPr="0007414B">
        <w:rPr>
          <w:noProof/>
        </w:rPr>
        <w:drawing>
          <wp:inline distT="0" distB="0" distL="0" distR="0" wp14:anchorId="6157D236" wp14:editId="730D5BAA">
            <wp:extent cx="5118735" cy="2559368"/>
            <wp:effectExtent l="0" t="0" r="5715" b="0"/>
            <wp:docPr id="1823296341" name="Picture 1823296341" descr="A series of four side-by-side line charts showing the percentage of daily smokers by ethnic group between 2013/14 and 2021/2022. The chart shows that across all ethnic groups, the percentage of daily smokers has decreased. The decreases were largest for Māori, followed by Pacific peoples. In the final data point presented in the chart (2021/2022), daily smokers were highest for Māori followed by Pacific peoples, European/other, and then to Asian. Along the x-axes of the charts, the years are presented as a 3-year rolling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1" name="Picture 1823296341" descr="A series of four side-by-side line charts showing the percentage of daily smokers by ethnic group between 2013/14 and 2021/2022. The chart shows that across all ethnic groups, the percentage of daily smokers has decreased. The decreases were largest for Māori, followed by Pacific peoples. In the final data point presented in the chart (2021/2022), daily smokers were highest for Māori followed by Pacific peoples, European/other, and then to Asian. Along the x-axes of the charts, the years are presented as a 3-year rolling average.&#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28308" cy="2564155"/>
                    </a:xfrm>
                    <a:prstGeom prst="rect">
                      <a:avLst/>
                    </a:prstGeom>
                  </pic:spPr>
                </pic:pic>
              </a:graphicData>
            </a:graphic>
          </wp:inline>
        </w:drawing>
      </w:r>
    </w:p>
    <w:p w14:paraId="4FA3481C" w14:textId="77777777" w:rsidR="00395CB9" w:rsidRPr="00395CB9" w:rsidRDefault="00395CB9" w:rsidP="00395CB9">
      <w:pPr>
        <w:pStyle w:val="Note"/>
        <w:rPr>
          <w:rFonts w:eastAsia="Calibri Light"/>
        </w:rPr>
      </w:pPr>
      <w:r w:rsidRPr="00395CB9">
        <w:rPr>
          <w:rFonts w:eastAsia="Calibri Light"/>
        </w:rPr>
        <w:t>Note:</w:t>
      </w:r>
      <w:r w:rsidRPr="00395CB9">
        <w:t xml:space="preserve"> Error bars represent 95% confidence intervals.</w:t>
      </w:r>
    </w:p>
    <w:p w14:paraId="46123A88" w14:textId="77777777" w:rsidR="00395CB9" w:rsidRPr="00395CB9" w:rsidRDefault="00395CB9" w:rsidP="00395CB9">
      <w:pPr>
        <w:pStyle w:val="Source"/>
      </w:pPr>
      <w:r w:rsidRPr="00395CB9">
        <w:t xml:space="preserve">Source: </w:t>
      </w:r>
      <w:hyperlink r:id="rId83" w:anchor="!/home" w:history="1">
        <w:r w:rsidRPr="00395CB9">
          <w:rPr>
            <w:rStyle w:val="Hyperlink"/>
          </w:rPr>
          <w:t>Manatū Hauora (2023a)</w:t>
        </w:r>
      </w:hyperlink>
    </w:p>
    <w:p w14:paraId="1A91EE61" w14:textId="77777777" w:rsidR="004B1165" w:rsidRDefault="004B1165" w:rsidP="00395CB9">
      <w:pPr>
        <w:rPr>
          <w:rFonts w:cs="Segoe UI"/>
        </w:rPr>
      </w:pPr>
    </w:p>
    <w:p w14:paraId="21B096B8" w14:textId="278886EF" w:rsidR="00395CB9" w:rsidRPr="00EA655C" w:rsidRDefault="00395CB9" w:rsidP="00395CB9">
      <w:pPr>
        <w:rPr>
          <w:rFonts w:cs="Segoe UI"/>
        </w:rPr>
      </w:pPr>
      <w:r w:rsidRPr="0007414B">
        <w:rPr>
          <w:rFonts w:cs="Segoe UI"/>
        </w:rPr>
        <w:t xml:space="preserve">Rates of daily smoking decreased across all age groups. </w:t>
      </w:r>
      <w:r w:rsidRPr="00EA655C">
        <w:rPr>
          <w:rFonts w:cs="Segoe UI"/>
        </w:rPr>
        <w:fldChar w:fldCharType="begin"/>
      </w:r>
      <w:r w:rsidRPr="00EA655C">
        <w:rPr>
          <w:rFonts w:cs="Segoe UI"/>
        </w:rPr>
        <w:instrText xml:space="preserve"> REF _Ref132114947 \h  \* MERGEFORMAT </w:instrText>
      </w:r>
      <w:r w:rsidRPr="00EA655C">
        <w:rPr>
          <w:rFonts w:cs="Segoe UI"/>
        </w:rPr>
      </w:r>
      <w:r w:rsidRPr="00EA655C">
        <w:rPr>
          <w:rFonts w:cs="Segoe UI"/>
        </w:rPr>
        <w:fldChar w:fldCharType="separate"/>
      </w:r>
      <w:r w:rsidR="00BE208D" w:rsidRPr="00BE208D">
        <w:rPr>
          <w:rFonts w:cs="Segoe UI"/>
        </w:rPr>
        <w:t>Figure 25</w:t>
      </w:r>
      <w:r w:rsidRPr="00EA655C">
        <w:rPr>
          <w:rFonts w:cs="Segoe UI"/>
        </w:rPr>
        <w:fldChar w:fldCharType="end"/>
      </w:r>
      <w:r w:rsidRPr="00EA655C">
        <w:rPr>
          <w:rFonts w:cs="Segoe UI"/>
        </w:rPr>
        <w:t xml:space="preserve"> shows a 3-year rolling average of daily smoking rates by age. </w:t>
      </w:r>
    </w:p>
    <w:p w14:paraId="0E92D94E" w14:textId="77777777" w:rsidR="00395CB9" w:rsidRPr="0007414B" w:rsidRDefault="00395CB9" w:rsidP="00395CB9">
      <w:pPr>
        <w:rPr>
          <w:rFonts w:cs="Segoe UI"/>
        </w:rPr>
      </w:pPr>
    </w:p>
    <w:p w14:paraId="32A72B40" w14:textId="41382FFF" w:rsidR="00395CB9" w:rsidRPr="0007414B" w:rsidRDefault="00395CB9" w:rsidP="00395CB9">
      <w:pPr>
        <w:pStyle w:val="Figure"/>
      </w:pPr>
      <w:bookmarkStart w:id="126" w:name="_Ref132114947"/>
      <w:bookmarkStart w:id="127" w:name="_Toc138326967"/>
      <w:bookmarkStart w:id="128" w:name="_Toc138409948"/>
      <w:r>
        <w:t xml:space="preserve">Figure </w:t>
      </w:r>
      <w:fldSimple w:instr=" SEQ Figure \* ARABIC ">
        <w:r w:rsidR="00BE208D">
          <w:rPr>
            <w:noProof/>
          </w:rPr>
          <w:t>25</w:t>
        </w:r>
      </w:fldSimple>
      <w:bookmarkEnd w:id="126"/>
      <w:r>
        <w:t>: Daily smoking rates, by age group, 3-year rolling average 2013/14–2021/22</w:t>
      </w:r>
      <w:bookmarkEnd w:id="127"/>
      <w:bookmarkEnd w:id="128"/>
    </w:p>
    <w:p w14:paraId="52330CA4" w14:textId="77777777" w:rsidR="00395CB9" w:rsidRPr="0007414B" w:rsidRDefault="00395CB9" w:rsidP="00395CB9">
      <w:pPr>
        <w:pStyle w:val="li-key-points"/>
        <w:spacing w:before="60" w:beforeAutospacing="0" w:after="60" w:afterAutospacing="0"/>
        <w:rPr>
          <w:rFonts w:ascii="Segoe UI" w:hAnsi="Segoe UI" w:cs="Segoe UI"/>
        </w:rPr>
      </w:pPr>
      <w:r w:rsidRPr="0007414B">
        <w:rPr>
          <w:noProof/>
        </w:rPr>
        <w:drawing>
          <wp:inline distT="0" distB="0" distL="0" distR="0" wp14:anchorId="014114E0" wp14:editId="7D7A53EC">
            <wp:extent cx="5118931" cy="2558499"/>
            <wp:effectExtent l="0" t="0" r="5715" b="0"/>
            <wp:docPr id="1823296342" name="Picture 1823296342" descr="A series of seven side-by-side line charts showing the percentage of daily smokers by age group between 2013/14 and 2021/2022. The chart shows that among all age groups, the percentage of daily smokers has decreased over time. Decreases were largest for the younger age groups, 15–24 and 25–34. In the final data point presented in the chart (2021/2022), the four age groups covering 25 through to 64 had high rates of daily smoking compared age groups either side - both younger and older. Along the x-axes of the charts, the years are presented as a 3-year rolling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2" name="Picture 1823296342" descr="A series of seven side-by-side line charts showing the percentage of daily smokers by age group between 2013/14 and 2021/2022. The chart shows that among all age groups, the percentage of daily smokers has decreased over time. Decreases were largest for the younger age groups, 15–24 and 25–34. In the final data point presented in the chart (2021/2022), the four age groups covering 25 through to 64 had high rates of daily smoking compared age groups either side - both younger and older. Along the x-axes of the charts, the years are presented as a 3-year rolling average.&#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132956" cy="2565509"/>
                    </a:xfrm>
                    <a:prstGeom prst="rect">
                      <a:avLst/>
                    </a:prstGeom>
                  </pic:spPr>
                </pic:pic>
              </a:graphicData>
            </a:graphic>
          </wp:inline>
        </w:drawing>
      </w:r>
    </w:p>
    <w:p w14:paraId="0B78D9FB" w14:textId="77777777" w:rsidR="00395CB9" w:rsidRPr="009015FD" w:rsidRDefault="00395CB9" w:rsidP="00395CB9">
      <w:pPr>
        <w:pStyle w:val="Note"/>
        <w:rPr>
          <w:rFonts w:eastAsia="Calibri Light" w:cs="Segoe UI"/>
        </w:rPr>
      </w:pPr>
      <w:r w:rsidRPr="009015FD">
        <w:rPr>
          <w:rFonts w:eastAsia="Calibri Light" w:cs="Segoe UI"/>
        </w:rPr>
        <w:t>Note:</w:t>
      </w:r>
      <w:r w:rsidRPr="009015FD">
        <w:t xml:space="preserve"> </w:t>
      </w:r>
      <w:r>
        <w:t>E</w:t>
      </w:r>
      <w:r w:rsidRPr="009015FD">
        <w:t>rror bars represent 95% confidence intervals.</w:t>
      </w:r>
    </w:p>
    <w:p w14:paraId="364F22F6" w14:textId="77777777" w:rsidR="00395CB9" w:rsidRPr="00395CB9" w:rsidRDefault="00395CB9" w:rsidP="00395CB9">
      <w:pPr>
        <w:pStyle w:val="Source"/>
      </w:pPr>
      <w:r w:rsidRPr="00395CB9">
        <w:t xml:space="preserve">Source: </w:t>
      </w:r>
      <w:hyperlink r:id="rId85" w:anchor="!/home" w:history="1">
        <w:r w:rsidRPr="00395CB9">
          <w:rPr>
            <w:rStyle w:val="Hyperlink"/>
          </w:rPr>
          <w:t>Manatū Hauora (2023a)</w:t>
        </w:r>
      </w:hyperlink>
    </w:p>
    <w:p w14:paraId="3AB4B89A" w14:textId="77777777" w:rsidR="00395CB9" w:rsidRPr="0007414B" w:rsidRDefault="00395CB9" w:rsidP="00395CB9">
      <w:pPr>
        <w:pStyle w:val="Heading4"/>
      </w:pPr>
      <w:r w:rsidRPr="0007414B">
        <w:t>Youth smoking</w:t>
      </w:r>
    </w:p>
    <w:p w14:paraId="421AC363" w14:textId="77777777" w:rsidR="00395CB9" w:rsidRPr="00EA655C" w:rsidRDefault="00395CB9" w:rsidP="00395CB9">
      <w:pPr>
        <w:rPr>
          <w:rFonts w:cs="Segoe UI"/>
        </w:rPr>
      </w:pPr>
      <w:r w:rsidRPr="00EA655C">
        <w:rPr>
          <w:rFonts w:cs="Segoe UI"/>
        </w:rPr>
        <w:t xml:space="preserve">According to the Health Survey, daily smoking for youth aged 15–24 years reduced from 17.6% in the 3-year pooled period ending 2013/14, to 7.5% for the 3-year pooled period ending 2021/22 </w:t>
      </w:r>
      <w:r w:rsidRPr="00EA655C">
        <w:rPr>
          <w:rFonts w:cs="Segoe UI"/>
        </w:rPr>
        <w:fldChar w:fldCharType="begin"/>
      </w:r>
      <w:r w:rsidRPr="00EA655C">
        <w:rPr>
          <w:rFonts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EA655C">
        <w:rPr>
          <w:rFonts w:cs="Segoe UI"/>
        </w:rPr>
        <w:fldChar w:fldCharType="separate"/>
      </w:r>
      <w:r w:rsidRPr="00EA655C">
        <w:rPr>
          <w:rFonts w:cs="Segoe UI"/>
        </w:rPr>
        <w:t>(Manatū Hauora 2023a)</w:t>
      </w:r>
      <w:r w:rsidRPr="00EA655C">
        <w:rPr>
          <w:rFonts w:cs="Segoe UI"/>
        </w:rPr>
        <w:fldChar w:fldCharType="end"/>
      </w:r>
      <w:r w:rsidRPr="00EA655C">
        <w:rPr>
          <w:rFonts w:cs="Segoe UI"/>
        </w:rPr>
        <w:t>.</w:t>
      </w:r>
    </w:p>
    <w:p w14:paraId="17C685D5" w14:textId="77777777" w:rsidR="00395CB9" w:rsidRPr="00EA655C" w:rsidRDefault="00395CB9" w:rsidP="00395CB9">
      <w:pPr>
        <w:rPr>
          <w:rFonts w:cs="Segoe UI"/>
          <w:szCs w:val="21"/>
        </w:rPr>
      </w:pPr>
    </w:p>
    <w:p w14:paraId="36090031" w14:textId="77777777" w:rsidR="00395CB9" w:rsidRPr="0007414B" w:rsidRDefault="00395CB9" w:rsidP="00395CB9">
      <w:pPr>
        <w:rPr>
          <w:rFonts w:cs="Segoe UI"/>
        </w:rPr>
      </w:pPr>
      <w:r w:rsidRPr="00EA655C">
        <w:rPr>
          <w:rFonts w:cs="Segoe UI"/>
        </w:rPr>
        <w:t xml:space="preserve">The </w:t>
      </w:r>
      <w:r w:rsidRPr="00EA655C">
        <w:rPr>
          <w:rFonts w:cs="Segoe UI"/>
          <w:i/>
        </w:rPr>
        <w:t>Action for Smokefree 2025 Year 10 Snapshot Survey</w:t>
      </w:r>
      <w:r w:rsidRPr="00EA655C">
        <w:rPr>
          <w:rFonts w:cs="Segoe UI"/>
        </w:rPr>
        <w:t xml:space="preserve"> asks 20,000 to 30,000 students every year about </w:t>
      </w:r>
      <w:r w:rsidRPr="0007414B">
        <w:rPr>
          <w:rFonts w:cs="Segoe UI"/>
        </w:rPr>
        <w:t xml:space="preserve">their smoking and vaping behaviour and attitudes </w:t>
      </w:r>
      <w:r w:rsidRPr="0007414B">
        <w:rPr>
          <w:rFonts w:cs="Segoe UI"/>
        </w:rPr>
        <w:fldChar w:fldCharType="begin"/>
      </w:r>
      <w:r>
        <w:rPr>
          <w:rFonts w:cs="Segoe UI"/>
        </w:rPr>
        <w:instrText xml:space="preserve"> ADDIN EN.CITE &lt;EndNote&gt;&lt;Cite&gt;&lt;Author&gt;Action for Smokefree 2025&lt;/Author&gt;&lt;Year&gt;2023&lt;/Year&gt;&lt;RecNum&gt;308&lt;/RecNum&gt;&lt;DisplayText&gt;(Action for Smokefree 2025 2023)&lt;/DisplayText&gt;&lt;record&gt;&lt;rec-number&gt;308&lt;/rec-number&gt;&lt;foreign-keys&gt;&lt;key app="EN" db-id="aaepvppzs5wtfse95vsp2wahsrtvva2vvdet" timestamp="1683255736"&gt;308&lt;/key&gt;&lt;/foreign-keys&gt;&lt;ref-type name="Web Page"&gt;12&lt;/ref-type&gt;&lt;contributors&gt;&lt;authors&gt;&lt;author&gt;Action for Smokefree 2025,&lt;/author&gt;&lt;/authors&gt;&lt;/contributors&gt;&lt;titles&gt;&lt;title&gt;ASH Year 10 Snapshot Survey&lt;/title&gt;&lt;/titles&gt;&lt;number&gt;28 April 2023&lt;/number&gt;&lt;dates&gt;&lt;year&gt;2023&lt;/year&gt;&lt;/dates&gt;&lt;urls&gt;&lt;related-urls&gt;&lt;url&gt;www.ash.org.nz/ash_year_10&lt;/url&gt;&lt;/related-urls&gt;&lt;/urls&gt;&lt;/record&gt;&lt;/Cite&gt;&lt;/EndNote&gt;</w:instrText>
      </w:r>
      <w:r w:rsidRPr="0007414B">
        <w:rPr>
          <w:rFonts w:cs="Segoe UI"/>
        </w:rPr>
        <w:fldChar w:fldCharType="separate"/>
      </w:r>
      <w:r>
        <w:rPr>
          <w:rFonts w:cs="Segoe UI"/>
          <w:noProof/>
        </w:rPr>
        <w:t xml:space="preserve">(Action for </w:t>
      </w:r>
      <w:r>
        <w:rPr>
          <w:rFonts w:cs="Segoe UI"/>
          <w:noProof/>
        </w:rPr>
        <w:lastRenderedPageBreak/>
        <w:t>Smokefree 2025, 2023)</w:t>
      </w:r>
      <w:r w:rsidRPr="0007414B">
        <w:rPr>
          <w:rFonts w:cs="Segoe UI"/>
        </w:rPr>
        <w:fldChar w:fldCharType="end"/>
      </w:r>
      <w:r w:rsidRPr="0007414B">
        <w:rPr>
          <w:rFonts w:cs="Segoe UI"/>
        </w:rPr>
        <w:t xml:space="preserve">. According to the 2022 survey, daily smoking rates among youth have continued to stay at a record low in Aotearoa New Zealand. Only 1.1% of Year 10 students (14–15 years of age) said they smoke at least once a day </w:t>
      </w:r>
      <w:r w:rsidRPr="0007414B">
        <w:rPr>
          <w:rFonts w:cs="Segoe UI"/>
        </w:rPr>
        <w:fldChar w:fldCharType="begin"/>
      </w:r>
      <w:r>
        <w:rPr>
          <w:rFonts w:cs="Segoe UI"/>
        </w:rPr>
        <w:instrText xml:space="preserve"> ADDIN EN.CITE &lt;EndNote&gt;&lt;Cite&gt;&lt;Author&gt;Action for Smokefree 2025&lt;/Author&gt;&lt;Year&gt;2023&lt;/Year&gt;&lt;RecNum&gt;308&lt;/RecNum&gt;&lt;DisplayText&gt;(Action for Smokefree 2025 2023)&lt;/DisplayText&gt;&lt;record&gt;&lt;rec-number&gt;308&lt;/rec-number&gt;&lt;foreign-keys&gt;&lt;key app="EN" db-id="aaepvppzs5wtfse95vsp2wahsrtvva2vvdet" timestamp="1683255736"&gt;308&lt;/key&gt;&lt;/foreign-keys&gt;&lt;ref-type name="Web Page"&gt;12&lt;/ref-type&gt;&lt;contributors&gt;&lt;authors&gt;&lt;author&gt;Action for Smokefree 2025,&lt;/author&gt;&lt;/authors&gt;&lt;/contributors&gt;&lt;titles&gt;&lt;title&gt;ASH Year 10 Snapshot Survey&lt;/title&gt;&lt;/titles&gt;&lt;number&gt;28 April 2023&lt;/number&gt;&lt;dates&gt;&lt;year&gt;2023&lt;/year&gt;&lt;/dates&gt;&lt;urls&gt;&lt;related-urls&gt;&lt;url&gt;www.ash.org.nz/ash_year_10&lt;/url&gt;&lt;/related-urls&gt;&lt;/urls&gt;&lt;/record&gt;&lt;/Cite&gt;&lt;/EndNote&gt;</w:instrText>
      </w:r>
      <w:r w:rsidRPr="0007414B">
        <w:rPr>
          <w:rFonts w:cs="Segoe UI"/>
        </w:rPr>
        <w:fldChar w:fldCharType="separate"/>
      </w:r>
      <w:r>
        <w:rPr>
          <w:rFonts w:cs="Segoe UI"/>
          <w:noProof/>
        </w:rPr>
        <w:t>(Action for Smokefree 2025, 2023)</w:t>
      </w:r>
      <w:r w:rsidRPr="0007414B">
        <w:rPr>
          <w:rFonts w:cs="Segoe UI"/>
        </w:rPr>
        <w:fldChar w:fldCharType="end"/>
      </w:r>
      <w:r w:rsidRPr="0007414B">
        <w:rPr>
          <w:rFonts w:cs="Segoe UI"/>
        </w:rPr>
        <w:t>.</w:t>
      </w:r>
    </w:p>
    <w:p w14:paraId="7F48BAFC" w14:textId="77777777" w:rsidR="00395CB9" w:rsidRPr="0007414B" w:rsidRDefault="00395CB9" w:rsidP="00395CB9">
      <w:pPr>
        <w:pStyle w:val="Heading3"/>
      </w:pPr>
      <w:r w:rsidRPr="0007414B">
        <w:t>Vaping</w:t>
      </w:r>
    </w:p>
    <w:p w14:paraId="243A4F15" w14:textId="77777777" w:rsidR="00395CB9" w:rsidRPr="0007414B" w:rsidRDefault="00395CB9" w:rsidP="00395CB9">
      <w:pPr>
        <w:rPr>
          <w:rFonts w:cs="Segoe UI"/>
          <w:lang w:eastAsia="en-NZ"/>
        </w:rPr>
      </w:pPr>
      <w:r w:rsidRPr="0007414B">
        <w:rPr>
          <w:rFonts w:cs="Segoe UI"/>
          <w:lang w:eastAsia="en-NZ"/>
        </w:rPr>
        <w:t xml:space="preserve">According to the Health Survey, </w:t>
      </w:r>
      <w:r w:rsidRPr="0007414B">
        <w:rPr>
          <w:rFonts w:eastAsia="Calibri Light" w:cs="Segoe UI"/>
        </w:rPr>
        <w:t xml:space="preserve">in the 3-year pooled period ending 2021/22, </w:t>
      </w:r>
      <w:r w:rsidRPr="0007414B">
        <w:rPr>
          <w:rFonts w:cs="Segoe UI"/>
          <w:lang w:eastAsia="en-NZ"/>
        </w:rPr>
        <w:t>25.5% of adults (aged 15 years and over) reported trying electronic cigarettes</w:t>
      </w:r>
      <w:r w:rsidRPr="0007414B">
        <w:rPr>
          <w:rStyle w:val="FootnoteReference"/>
          <w:rFonts w:cs="Segoe UI"/>
          <w:lang w:eastAsia="en-NZ"/>
        </w:rPr>
        <w:footnoteReference w:id="16"/>
      </w:r>
      <w:r w:rsidRPr="0007414B">
        <w:rPr>
          <w:rFonts w:cs="Segoe UI"/>
          <w:lang w:eastAsia="en-NZ"/>
        </w:rPr>
        <w:t xml:space="preserve"> </w:t>
      </w:r>
      <w:r w:rsidRPr="0007414B">
        <w:rPr>
          <w:rFonts w:cs="Segoe UI"/>
          <w:lang w:eastAsia="en-NZ"/>
        </w:rPr>
        <w:fldChar w:fldCharType="begin"/>
      </w:r>
      <w:r w:rsidRPr="0007414B">
        <w:rPr>
          <w:rFonts w:cs="Segoe UI"/>
          <w:lang w:eastAsia="en-NZ"/>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cs="Segoe UI"/>
          <w:lang w:eastAsia="en-NZ"/>
        </w:rPr>
        <w:fldChar w:fldCharType="separate"/>
      </w:r>
      <w:r w:rsidRPr="0007414B">
        <w:rPr>
          <w:rFonts w:cs="Segoe UI"/>
          <w:lang w:eastAsia="en-NZ"/>
        </w:rPr>
        <w:t>(Manatū Hauora 2023a)</w:t>
      </w:r>
      <w:r w:rsidRPr="0007414B">
        <w:rPr>
          <w:rFonts w:cs="Segoe UI"/>
          <w:lang w:eastAsia="en-NZ"/>
        </w:rPr>
        <w:fldChar w:fldCharType="end"/>
      </w:r>
      <w:r w:rsidRPr="0007414B">
        <w:rPr>
          <w:rFonts w:cs="Segoe UI"/>
          <w:lang w:eastAsia="en-NZ"/>
        </w:rPr>
        <w:t xml:space="preserve">. In addition, </w:t>
      </w:r>
      <w:r w:rsidRPr="0007414B">
        <w:rPr>
          <w:rFonts w:eastAsia="Calibri Light" w:cs="Segoe UI"/>
        </w:rPr>
        <w:t>in the same period:</w:t>
      </w:r>
    </w:p>
    <w:p w14:paraId="6BF8A414" w14:textId="77777777" w:rsidR="00395CB9" w:rsidRPr="0007414B" w:rsidRDefault="00395CB9" w:rsidP="00395CB9">
      <w:pPr>
        <w:pStyle w:val="Bullet"/>
        <w:rPr>
          <w:lang w:eastAsia="en-NZ"/>
        </w:rPr>
      </w:pPr>
      <w:r w:rsidRPr="0007414B">
        <w:rPr>
          <w:lang w:eastAsia="en-NZ"/>
        </w:rPr>
        <w:t>8.0% of adults reported using electronic cigarettes or a vaping device at least once a month</w:t>
      </w:r>
    </w:p>
    <w:p w14:paraId="3CBB9019" w14:textId="77777777" w:rsidR="00395CB9" w:rsidRPr="0007414B" w:rsidRDefault="00395CB9" w:rsidP="00395CB9">
      <w:pPr>
        <w:pStyle w:val="Bullet"/>
        <w:rPr>
          <w:lang w:eastAsia="en-NZ"/>
        </w:rPr>
      </w:pPr>
      <w:r w:rsidRPr="0007414B">
        <w:rPr>
          <w:lang w:eastAsia="en-NZ"/>
        </w:rPr>
        <w:t>6.0% of adults used electronic cigarettes or a vaping device daily.</w:t>
      </w:r>
    </w:p>
    <w:p w14:paraId="0293DA3D" w14:textId="77777777" w:rsidR="00395CB9" w:rsidRPr="0007414B" w:rsidRDefault="00395CB9" w:rsidP="00395CB9"/>
    <w:p w14:paraId="7D2810C0" w14:textId="77777777" w:rsidR="00395CB9" w:rsidRPr="0007414B" w:rsidRDefault="00395CB9" w:rsidP="00395CB9">
      <w:r w:rsidRPr="0007414B">
        <w:t>In the 2022 Action on Smoking and Health Year 10 Snapshot Survey:</w:t>
      </w:r>
    </w:p>
    <w:p w14:paraId="0517979B" w14:textId="77777777" w:rsidR="00395CB9" w:rsidRPr="0007414B" w:rsidRDefault="00395CB9" w:rsidP="00395CB9">
      <w:pPr>
        <w:pStyle w:val="Bullet"/>
        <w:rPr>
          <w:lang w:eastAsia="en-NZ"/>
        </w:rPr>
      </w:pPr>
      <w:r w:rsidRPr="0007414B">
        <w:rPr>
          <w:lang w:eastAsia="en-NZ"/>
        </w:rPr>
        <w:t>overall daily vaping increased from 9.6% in 2021 to 10.1% in 2022</w:t>
      </w:r>
    </w:p>
    <w:p w14:paraId="751FD778" w14:textId="77777777" w:rsidR="00395CB9" w:rsidRPr="0007414B" w:rsidRDefault="00395CB9" w:rsidP="00395CB9">
      <w:pPr>
        <w:pStyle w:val="Bullet"/>
        <w:rPr>
          <w:lang w:eastAsia="en-NZ"/>
        </w:rPr>
      </w:pPr>
      <w:r w:rsidRPr="0007414B">
        <w:rPr>
          <w:lang w:eastAsia="en-NZ"/>
        </w:rPr>
        <w:t xml:space="preserve">daily vaping among those who have never smoked increased from 3.1% in 2021 to 4.3% in 2022 </w:t>
      </w:r>
      <w:r w:rsidRPr="0007414B">
        <w:rPr>
          <w:lang w:eastAsia="en-NZ"/>
        </w:rPr>
        <w:fldChar w:fldCharType="begin"/>
      </w:r>
      <w:r>
        <w:rPr>
          <w:lang w:eastAsia="en-NZ"/>
        </w:rPr>
        <w:instrText xml:space="preserve"> ADDIN EN.CITE &lt;EndNote&gt;&lt;Cite&gt;&lt;Author&gt;Action for Smokefree 2025&lt;/Author&gt;&lt;Year&gt;2023&lt;/Year&gt;&lt;RecNum&gt;308&lt;/RecNum&gt;&lt;DisplayText&gt;(Action for Smokefree 2025 2023)&lt;/DisplayText&gt;&lt;record&gt;&lt;rec-number&gt;308&lt;/rec-number&gt;&lt;foreign-keys&gt;&lt;key app="EN" db-id="aaepvppzs5wtfse95vsp2wahsrtvva2vvdet" timestamp="1683255736"&gt;308&lt;/key&gt;&lt;/foreign-keys&gt;&lt;ref-type name="Web Page"&gt;12&lt;/ref-type&gt;&lt;contributors&gt;&lt;authors&gt;&lt;author&gt;Action for Smokefree 2025,&lt;/author&gt;&lt;/authors&gt;&lt;/contributors&gt;&lt;titles&gt;&lt;title&gt;ASH Year 10 Snapshot Survey&lt;/title&gt;&lt;/titles&gt;&lt;number&gt;28 April 2023&lt;/number&gt;&lt;dates&gt;&lt;year&gt;2023&lt;/year&gt;&lt;/dates&gt;&lt;urls&gt;&lt;related-urls&gt;&lt;url&gt;www.ash.org.nz/ash_year_10&lt;/url&gt;&lt;/related-urls&gt;&lt;/urls&gt;&lt;/record&gt;&lt;/Cite&gt;&lt;/EndNote&gt;</w:instrText>
      </w:r>
      <w:r w:rsidRPr="0007414B">
        <w:rPr>
          <w:lang w:eastAsia="en-NZ"/>
        </w:rPr>
        <w:fldChar w:fldCharType="separate"/>
      </w:r>
      <w:r>
        <w:rPr>
          <w:noProof/>
          <w:lang w:eastAsia="en-NZ"/>
        </w:rPr>
        <w:t>(Action for Smokefree 2025, 2023)</w:t>
      </w:r>
      <w:r w:rsidRPr="0007414B">
        <w:rPr>
          <w:lang w:eastAsia="en-NZ"/>
        </w:rPr>
        <w:fldChar w:fldCharType="end"/>
      </w:r>
      <w:r w:rsidRPr="0007414B">
        <w:rPr>
          <w:lang w:eastAsia="en-NZ"/>
        </w:rPr>
        <w:t>.</w:t>
      </w:r>
    </w:p>
    <w:p w14:paraId="6BE5AA68" w14:textId="77777777" w:rsidR="00395CB9" w:rsidRPr="0007414B" w:rsidRDefault="00395CB9" w:rsidP="00395CB9">
      <w:pPr>
        <w:pStyle w:val="Heading3"/>
      </w:pPr>
      <w:r w:rsidRPr="0007414B">
        <w:t xml:space="preserve">Alcohol </w:t>
      </w:r>
    </w:p>
    <w:p w14:paraId="64C75702" w14:textId="77777777" w:rsidR="00395CB9" w:rsidRPr="009E5CA6" w:rsidRDefault="00395CB9" w:rsidP="00395CB9">
      <w:pPr>
        <w:rPr>
          <w:lang w:eastAsia="en-NZ"/>
        </w:rPr>
      </w:pPr>
      <w:r w:rsidRPr="009E5CA6">
        <w:rPr>
          <w:lang w:eastAsia="en-NZ"/>
        </w:rPr>
        <w:t xml:space="preserve">Alcohol harm occurs through both the total volume consumed and patterns of drinking. Harmful drinking can cause serious health, personal and social problems. Alcohol is one of the main preventable risk factors for a number of diseases, such as cancer, mental health conditions and long-term conditions </w:t>
      </w:r>
      <w:r w:rsidRPr="009E5CA6">
        <w:rPr>
          <w:lang w:eastAsia="en-NZ"/>
        </w:rPr>
        <w:fldChar w:fldCharType="begin"/>
      </w:r>
      <w:r w:rsidRPr="009E5CA6">
        <w:rPr>
          <w:lang w:eastAsia="en-NZ"/>
        </w:rPr>
        <w:instrText xml:space="preserve"> ADDIN EN.CITE &lt;EndNote&gt;&lt;Cite&gt;&lt;Author&gt;Manatū Hauora&lt;/Author&gt;&lt;Year&gt;2022&lt;/Year&gt;&lt;RecNum&gt;129&lt;/RecNum&gt;&lt;DisplayText&gt;(Manatū Hauora 2022b)&lt;/DisplayText&gt;&lt;record&gt;&lt;rec-number&gt;129&lt;/rec-number&gt;&lt;foreign-keys&gt;&lt;key app="EN" db-id="aaepvppzs5wtfse95vsp2wahsrtvva2vvdet" timestamp="1634786238"&gt;129&lt;/key&gt;&lt;/foreign-keys&gt;&lt;ref-type name="Web Page"&gt;12&lt;/ref-type&gt;&lt;contributors&gt;&lt;authors&gt;&lt;author&gt;&lt;style face="normal" font="default" size="100%"&gt;Manat&lt;/style&gt;&lt;style face="normal" font="default" charset="238" size="100%"&gt;ū Hauora,&lt;/style&gt;&lt;/author&gt;&lt;/authors&gt;&lt;/contributors&gt;&lt;titles&gt;&lt;title&gt;Alcohol&lt;/title&gt;&lt;/titles&gt;&lt;number&gt;5 May 2023&lt;/number&gt;&lt;dates&gt;&lt;year&gt;2022&lt;/year&gt;&lt;/dates&gt;&lt;urls&gt;&lt;related-urls&gt;&lt;url&gt;www.health.govt.nz/your-health/healthy-living/addictions/alcohol-and-drug-abuse/alcohol&lt;/url&gt;&lt;/related-urls&gt;&lt;/urls&gt;&lt;/record&gt;&lt;/Cite&gt;&lt;/EndNote&gt;</w:instrText>
      </w:r>
      <w:r w:rsidRPr="009E5CA6">
        <w:rPr>
          <w:lang w:eastAsia="en-NZ"/>
        </w:rPr>
        <w:fldChar w:fldCharType="separate"/>
      </w:r>
      <w:r w:rsidRPr="009E5CA6">
        <w:rPr>
          <w:noProof/>
          <w:lang w:eastAsia="en-NZ"/>
        </w:rPr>
        <w:t>(Manatū Hauora 2022b)</w:t>
      </w:r>
      <w:r w:rsidRPr="009E5CA6">
        <w:rPr>
          <w:lang w:eastAsia="en-NZ"/>
        </w:rPr>
        <w:fldChar w:fldCharType="end"/>
      </w:r>
      <w:r w:rsidRPr="009E5CA6">
        <w:rPr>
          <w:lang w:eastAsia="en-NZ"/>
        </w:rPr>
        <w:t>.</w:t>
      </w:r>
    </w:p>
    <w:p w14:paraId="4E61D20D" w14:textId="77777777" w:rsidR="00395CB9" w:rsidRPr="0007414B" w:rsidRDefault="00395CB9" w:rsidP="00395CB9">
      <w:pPr>
        <w:rPr>
          <w:szCs w:val="21"/>
        </w:rPr>
      </w:pPr>
    </w:p>
    <w:p w14:paraId="19C40CE6" w14:textId="77777777" w:rsidR="00395CB9" w:rsidRPr="0007414B" w:rsidRDefault="00395CB9" w:rsidP="00395CB9">
      <w:r w:rsidRPr="0007414B">
        <w:t>According to the Health Survey, in</w:t>
      </w:r>
      <w:r w:rsidRPr="0007414B">
        <w:rPr>
          <w:rFonts w:eastAsia="Calibri Light"/>
        </w:rPr>
        <w:t xml:space="preserve"> the 3-year pooled period ending 2021/22</w:t>
      </w:r>
      <w:r w:rsidRPr="0007414B">
        <w:t xml:space="preserve">, nearly </w:t>
      </w:r>
      <w:r w:rsidRPr="009E5CA6">
        <w:t>1 in</w:t>
      </w:r>
      <w:r w:rsidRPr="0007414B" w:rsidDel="007B738C">
        <w:t xml:space="preserve"> </w:t>
      </w:r>
      <w:r w:rsidRPr="0007414B">
        <w:t xml:space="preserve">5 adults (20.0%) </w:t>
      </w:r>
      <w:r w:rsidRPr="0007414B" w:rsidDel="007B738C">
        <w:t xml:space="preserve">were </w:t>
      </w:r>
      <w:r w:rsidRPr="0007414B">
        <w:t xml:space="preserve">a hazardous drinker, similar to 3-year rolling averages since 2015/16 </w:t>
      </w:r>
      <w:r w:rsidRPr="0007414B">
        <w:fldChar w:fldCharType="begin"/>
      </w:r>
      <w:r w:rsidRPr="0007414B">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fldChar w:fldCharType="separate"/>
      </w:r>
      <w:r w:rsidRPr="0007414B">
        <w:t>(Manatū Hauora 2023a)</w:t>
      </w:r>
      <w:r w:rsidRPr="0007414B">
        <w:fldChar w:fldCharType="end"/>
      </w:r>
      <w:r w:rsidRPr="0007414B">
        <w:t xml:space="preserve">. Hazardous drinkers are defined as those with an established pattern of drinking that carries a high risk of future damage to physical or mental health </w:t>
      </w:r>
      <w:r w:rsidRPr="0007414B">
        <w:fldChar w:fldCharType="begin"/>
      </w:r>
      <w:r>
        <w:instrText xml:space="preserve"> ADDIN EN.CITE &lt;EndNote&gt;&lt;Cite&gt;&lt;Author&gt;Manatū Hauora&lt;/Author&gt;&lt;Year&gt;2022&lt;/Year&gt;&lt;RecNum&gt;376&lt;/RecNum&gt;&lt;DisplayText&gt;(Manatū Hauora 2022l)&lt;/DisplayText&gt;&lt;record&gt;&lt;rec-number&gt;376&lt;/rec-number&gt;&lt;foreign-keys&gt;&lt;key app="EN" db-id="aaepvppzs5wtfse95vsp2wahsrtvva2vvdet" timestamp="1684375078"&gt;376&lt;/key&gt;&lt;/foreign-keys&gt;&lt;ref-type name="Web Page"&gt;12&lt;/ref-type&gt;&lt;contributors&gt;&lt;authors&gt;&lt;author&gt;&lt;style face="normal" font="default" size="100%"&gt;Manat&lt;/style&gt;&lt;style face="normal" font="default" charset="238" size="100%"&gt;ū Hauora,&lt;/style&gt;&lt;/author&gt;&lt;/authors&gt;&lt;/contributors&gt;&lt;titles&gt;&lt;title&gt;Questionnaires and Content Guide 2021/22: New Zealand Health Survey&lt;/title&gt;&lt;/titles&gt;&lt;number&gt;18 May 2023&lt;/number&gt;&lt;dates&gt;&lt;year&gt;2022&lt;/year&gt;&lt;/dates&gt;&lt;urls&gt;&lt;related-urls&gt;&lt;url&gt;www.health.govt.nz/publication/questionnaires-and-content-guide-2021-22-new-zealand-health-surve&lt;/url&gt;&lt;/related-urls&gt;&lt;/urls&gt;&lt;/record&gt;&lt;/Cite&gt;&lt;/EndNote&gt;</w:instrText>
      </w:r>
      <w:r w:rsidRPr="0007414B">
        <w:fldChar w:fldCharType="separate"/>
      </w:r>
      <w:r w:rsidRPr="0007414B">
        <w:rPr>
          <w:noProof/>
        </w:rPr>
        <w:t>(Manatū Hauora 2022l)</w:t>
      </w:r>
      <w:r w:rsidRPr="0007414B">
        <w:fldChar w:fldCharType="end"/>
      </w:r>
      <w:r w:rsidRPr="0007414B">
        <w:t xml:space="preserve">. </w:t>
      </w:r>
    </w:p>
    <w:p w14:paraId="112F94AC" w14:textId="77777777" w:rsidR="00395CB9" w:rsidRPr="0007414B" w:rsidRDefault="00395CB9" w:rsidP="00395CB9"/>
    <w:p w14:paraId="6967380A" w14:textId="77777777" w:rsidR="00395CB9" w:rsidRPr="0007414B" w:rsidRDefault="00395CB9" w:rsidP="00395CB9">
      <w:r w:rsidRPr="0007414B">
        <w:t>In the 3-year pooled period ending 2021/22:</w:t>
      </w:r>
    </w:p>
    <w:p w14:paraId="37DDC242" w14:textId="77777777" w:rsidR="00395CB9" w:rsidRPr="0007414B" w:rsidRDefault="00395CB9" w:rsidP="00395CB9">
      <w:pPr>
        <w:pStyle w:val="Bullet"/>
      </w:pPr>
      <w:r w:rsidRPr="0007414B">
        <w:t>the prevalence of hazardous drinking was 27.0% among men and 13.2% among women</w:t>
      </w:r>
    </w:p>
    <w:p w14:paraId="517223A9" w14:textId="77777777" w:rsidR="00395CB9" w:rsidRPr="0007414B" w:rsidRDefault="00395CB9" w:rsidP="00395CB9">
      <w:pPr>
        <w:pStyle w:val="Bullet"/>
      </w:pPr>
      <w:r w:rsidRPr="0007414B">
        <w:t>by age, the prevalence of hazardous drinking was highest among those aged 15–24 years, at 26.0%, and was also high among those aged 25–34 (23.6%), 35–44 (21.7%) and 45–54 (23.8%) years</w:t>
      </w:r>
    </w:p>
    <w:p w14:paraId="22CEE163" w14:textId="77777777" w:rsidR="00395CB9" w:rsidRPr="0007414B" w:rsidRDefault="00395CB9" w:rsidP="00395CB9">
      <w:pPr>
        <w:pStyle w:val="Bullet"/>
      </w:pPr>
      <w:r w:rsidRPr="0007414B">
        <w:t>Asian adults (5.7%) had a lower rate of hazardous drinking than Māori (34.3%), Pacific (24.3%) and European/other (21.3%) adults.</w:t>
      </w:r>
    </w:p>
    <w:p w14:paraId="75A96861" w14:textId="77777777" w:rsidR="00395CB9" w:rsidRPr="0007414B" w:rsidRDefault="00395CB9" w:rsidP="00395CB9"/>
    <w:p w14:paraId="2DA8C0D7" w14:textId="77777777" w:rsidR="004B1165" w:rsidRDefault="004B1165" w:rsidP="00395CB9">
      <w:pPr>
        <w:sectPr w:rsidR="004B1165" w:rsidSect="00025EAD">
          <w:pgSz w:w="11907" w:h="16834" w:code="9"/>
          <w:pgMar w:top="1418" w:right="1701" w:bottom="1134" w:left="1843" w:header="284" w:footer="425" w:gutter="284"/>
          <w:cols w:space="720"/>
        </w:sectPr>
      </w:pPr>
    </w:p>
    <w:p w14:paraId="7F165422" w14:textId="0350211A" w:rsidR="00395CB9" w:rsidRDefault="00395CB9" w:rsidP="00395CB9">
      <w:r w:rsidRPr="0007414B">
        <w:lastRenderedPageBreak/>
        <w:fldChar w:fldCharType="begin"/>
      </w:r>
      <w:r w:rsidRPr="0007414B">
        <w:instrText xml:space="preserve"> REF _Ref132120500 \h  \* MERGEFORMAT </w:instrText>
      </w:r>
      <w:r w:rsidRPr="0007414B">
        <w:fldChar w:fldCharType="separate"/>
      </w:r>
      <w:r w:rsidR="00BE208D">
        <w:t>Figure 26</w:t>
      </w:r>
      <w:r w:rsidRPr="0007414B">
        <w:fldChar w:fldCharType="end"/>
      </w:r>
      <w:r w:rsidRPr="0007414B">
        <w:t xml:space="preserve"> shows a 3-year rolling average of the percentage of hazardous drinkers by age, from 2016/17 to 2021/22.</w:t>
      </w:r>
    </w:p>
    <w:p w14:paraId="766DD2AD" w14:textId="77777777" w:rsidR="00395CB9" w:rsidRPr="0007414B" w:rsidRDefault="00395CB9" w:rsidP="00395CB9"/>
    <w:p w14:paraId="16A6A925" w14:textId="25E63625" w:rsidR="00395CB9" w:rsidRPr="0007414B" w:rsidRDefault="00395CB9" w:rsidP="00395CB9">
      <w:pPr>
        <w:pStyle w:val="Figure"/>
      </w:pPr>
      <w:bookmarkStart w:id="129" w:name="_Ref132120500"/>
      <w:bookmarkStart w:id="130" w:name="_Toc138326968"/>
      <w:bookmarkStart w:id="131" w:name="_Toc138409949"/>
      <w:r>
        <w:t xml:space="preserve">Figure </w:t>
      </w:r>
      <w:fldSimple w:instr=" SEQ Figure \* ARABIC ">
        <w:r w:rsidR="00BE208D">
          <w:rPr>
            <w:noProof/>
          </w:rPr>
          <w:t>26</w:t>
        </w:r>
      </w:fldSimple>
      <w:bookmarkEnd w:id="129"/>
      <w:r>
        <w:t>: Percentage of hazardous drinkers</w:t>
      </w:r>
      <w:r w:rsidDel="004D7D80">
        <w:t>,</w:t>
      </w:r>
      <w:r>
        <w:t xml:space="preserve"> by age group, 3-year rolling average 2016/17–2021/22</w:t>
      </w:r>
      <w:bookmarkEnd w:id="130"/>
      <w:bookmarkEnd w:id="131"/>
    </w:p>
    <w:p w14:paraId="12B3AF9C" w14:textId="77777777" w:rsidR="00395CB9" w:rsidRPr="0007414B" w:rsidRDefault="00395CB9" w:rsidP="00395CB9">
      <w:r w:rsidRPr="0007414B">
        <w:rPr>
          <w:noProof/>
        </w:rPr>
        <w:drawing>
          <wp:inline distT="0" distB="0" distL="0" distR="0" wp14:anchorId="4DA60838" wp14:editId="61463796">
            <wp:extent cx="5127477" cy="2562771"/>
            <wp:effectExtent l="0" t="0" r="0" b="9525"/>
            <wp:docPr id="1823296343" name="Picture 1823296343" descr="A series of seven side-by-side timeseries line charts showing the percentage of hazardous drinkers by age group between 2016/2017. The chart shows that hazardous drinking has not changed significantly for any of the age groups between 2016/2017 and 2021/2022. In general, the percentage of hazardous drinkers decreases as age increases. Along the x-axes of the charts, the years are presented as a 3-year rolling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3" name="Picture 1823296343" descr="A series of seven side-by-side timeseries line charts showing the percentage of hazardous drinkers by age group between 2016/2017. The chart shows that hazardous drinking has not changed significantly for any of the age groups between 2016/2017 and 2021/2022. In general, the percentage of hazardous drinkers decreases as age increases. Along the x-axes of the charts, the years are presented as a 3-year rolling average.&#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142916" cy="2570488"/>
                    </a:xfrm>
                    <a:prstGeom prst="rect">
                      <a:avLst/>
                    </a:prstGeom>
                  </pic:spPr>
                </pic:pic>
              </a:graphicData>
            </a:graphic>
          </wp:inline>
        </w:drawing>
      </w:r>
    </w:p>
    <w:p w14:paraId="1264ABDF" w14:textId="77777777" w:rsidR="00395CB9" w:rsidRPr="00162C1D" w:rsidRDefault="00395CB9" w:rsidP="00395CB9">
      <w:pPr>
        <w:pStyle w:val="Note"/>
        <w:rPr>
          <w:rFonts w:eastAsia="Calibri Light" w:cs="Segoe UI"/>
          <w:color w:val="595959" w:themeColor="text1" w:themeTint="A6"/>
        </w:rPr>
      </w:pPr>
      <w:r w:rsidRPr="00162C1D">
        <w:rPr>
          <w:rFonts w:eastAsia="Calibri Light" w:cs="Segoe UI"/>
        </w:rPr>
        <w:t>Note:</w:t>
      </w:r>
      <w:r w:rsidRPr="00162C1D">
        <w:t xml:space="preserve"> </w:t>
      </w:r>
      <w:r>
        <w:t>E</w:t>
      </w:r>
      <w:r w:rsidRPr="00162C1D">
        <w:t>rror bars represent 95% confidence intervals.</w:t>
      </w:r>
    </w:p>
    <w:p w14:paraId="3B224654" w14:textId="77777777" w:rsidR="00395CB9" w:rsidRPr="00395CB9" w:rsidRDefault="00395CB9" w:rsidP="00395CB9">
      <w:pPr>
        <w:pStyle w:val="Source"/>
      </w:pPr>
      <w:r w:rsidRPr="00395CB9">
        <w:t xml:space="preserve">Source: </w:t>
      </w:r>
      <w:hyperlink r:id="rId87" w:anchor="!/home" w:history="1">
        <w:r w:rsidRPr="00395CB9">
          <w:rPr>
            <w:rStyle w:val="Hyperlink"/>
          </w:rPr>
          <w:t>Manatū Hauora (2023a)</w:t>
        </w:r>
      </w:hyperlink>
    </w:p>
    <w:p w14:paraId="30D3EC1E" w14:textId="77777777" w:rsidR="00395CB9" w:rsidRPr="0007414B" w:rsidRDefault="00395CB9" w:rsidP="00395CB9">
      <w:pPr>
        <w:pStyle w:val="Heading3"/>
        <w:rPr>
          <w:rFonts w:eastAsia="Calibri Light"/>
        </w:rPr>
      </w:pPr>
      <w:r w:rsidRPr="0007414B">
        <w:t>Nutrition</w:t>
      </w:r>
    </w:p>
    <w:p w14:paraId="4D160EF8" w14:textId="77777777" w:rsidR="00395CB9" w:rsidRPr="0007414B" w:rsidRDefault="00395CB9" w:rsidP="00395CB9">
      <w:pPr>
        <w:rPr>
          <w:rFonts w:eastAsia="Calibri Light"/>
        </w:rPr>
      </w:pPr>
      <w:r w:rsidRPr="0007414B">
        <w:t xml:space="preserve">Eating a healthy diet and having regular physical activity are essential for the overall health and wellbeing of all New Zealanders </w:t>
      </w:r>
      <w:r w:rsidRPr="0007414B">
        <w:fldChar w:fldCharType="begin"/>
      </w:r>
      <w:r>
        <w:instrText xml:space="preserve"> ADDIN EN.CITE &lt;EndNote&gt;&lt;Cite&gt;&lt;Author&gt;Elliot&lt;/Author&gt;&lt;Year&gt;2018&lt;/Year&gt;&lt;RecNum&gt;379&lt;/RecNum&gt;&lt;DisplayText&gt;(Elliot and Hamlin 2018)&lt;/DisplayText&gt;&lt;record&gt;&lt;rec-number&gt;379&lt;/rec-number&gt;&lt;foreign-keys&gt;&lt;key app="EN" db-id="aaepvppzs5wtfse95vsp2wahsrtvva2vvdet" timestamp="1684386259"&gt;379&lt;/key&gt;&lt;/foreign-keys&gt;&lt;ref-type name="Journal Article"&gt;17&lt;/ref-type&gt;&lt;contributors&gt;&lt;authors&gt;&lt;author&gt;Elliot, Catherine Anne&lt;/author&gt;&lt;author&gt;Hamlin, Michael John&lt;/author&gt;&lt;/authors&gt;&lt;/contributors&gt;&lt;titles&gt;&lt;title&gt;Combined diet and physical activity is better than diet or physical activity alone at improving health outcomes for patients in New Zealand’s primary care intervention&lt;/title&gt;&lt;secondary-title&gt;BMC Public Health&lt;/secondary-title&gt;&lt;/titles&gt;&lt;periodical&gt;&lt;full-title&gt;BMC Public Health&lt;/full-title&gt;&lt;/periodical&gt;&lt;pages&gt;230&lt;/pages&gt;&lt;volume&gt;18&lt;/volume&gt;&lt;number&gt;1&lt;/number&gt;&lt;dates&gt;&lt;year&gt;2018&lt;/year&gt;&lt;/dates&gt;&lt;urls&gt;&lt;related-urls&gt;&lt;url&gt;https://bmcpublichealth.biomedcentral.com/articles/10.1186/s12889-018-5152-z&lt;/url&gt;&lt;/related-urls&gt;&lt;/urls&gt;&lt;/record&gt;&lt;/Cite&gt;&lt;/EndNote&gt;</w:instrText>
      </w:r>
      <w:r w:rsidRPr="0007414B">
        <w:fldChar w:fldCharType="separate"/>
      </w:r>
      <w:r w:rsidRPr="0007414B">
        <w:rPr>
          <w:noProof/>
        </w:rPr>
        <w:t>(Elliot and Hamlin 2018)</w:t>
      </w:r>
      <w:r w:rsidRPr="0007414B">
        <w:fldChar w:fldCharType="end"/>
      </w:r>
      <w:r w:rsidRPr="0007414B">
        <w:t xml:space="preserve">. Adults who eat a healthy diet and are physically active can decrease their risk of developing a number of adult-onset health conditions and diseases and are more likely to maintain </w:t>
      </w:r>
      <w:r w:rsidRPr="0007414B">
        <w:rPr>
          <w:spacing w:val="-16"/>
        </w:rPr>
        <w:t xml:space="preserve">a </w:t>
      </w:r>
      <w:r w:rsidRPr="0007414B">
        <w:t>healthy weight. For pregnant and breastfeeding women eating a nutrient-rich diet</w:t>
      </w:r>
      <w:r>
        <w:t>,</w:t>
      </w:r>
      <w:r w:rsidRPr="0007414B">
        <w:t xml:space="preserve"> along with appropriate and timely</w:t>
      </w:r>
      <w:r w:rsidRPr="0007414B">
        <w:rPr>
          <w:spacing w:val="-4"/>
        </w:rPr>
        <w:t xml:space="preserve"> </w:t>
      </w:r>
      <w:r w:rsidRPr="0007414B">
        <w:t>vitamin and mineral supplements and exercising regularly</w:t>
      </w:r>
      <w:r>
        <w:t>,</w:t>
      </w:r>
      <w:r w:rsidRPr="0007414B">
        <w:t xml:space="preserve"> </w:t>
      </w:r>
      <w:r>
        <w:t>is</w:t>
      </w:r>
      <w:r w:rsidRPr="0007414B">
        <w:t xml:space="preserve"> important to optimise the health outcomes for the infant and mother </w:t>
      </w:r>
      <w:r w:rsidRPr="0007414B">
        <w:fldChar w:fldCharType="begin"/>
      </w:r>
      <w:r w:rsidRPr="0007414B">
        <w:instrText xml:space="preserve"> ADDIN EN.CITE &lt;EndNote&gt;&lt;Cite&gt;&lt;Author&gt;Manatū Hauora&lt;/Author&gt;&lt;Year&gt;2020&lt;/Year&gt;&lt;RecNum&gt;49&lt;/RecNum&gt;&lt;DisplayText&gt;(Manatū Hauora 2020a)&lt;/DisplayText&gt;&lt;record&gt;&lt;rec-number&gt;49&lt;/rec-number&gt;&lt;foreign-keys&gt;&lt;key app="EN" db-id="aaepvppzs5wtfse95vsp2wahsrtvva2vvdet" timestamp="1632345653"&gt;49&lt;/key&gt;&lt;/foreign-keys&gt;&lt;ref-type name="Web Page"&gt;12&lt;/ref-type&gt;&lt;contributors&gt;&lt;authors&gt;&lt;author&gt;&lt;style face="normal" font="default" size="100%"&gt;Manat&lt;/style&gt;&lt;style face="normal" font="default" charset="238" size="100%"&gt;ū Hauora,&lt;/style&gt;&lt;/author&gt;&lt;/authors&gt;&lt;/contributors&gt;&lt;titles&gt;&lt;title&gt;Eating and Activity Guidelines for New Zealand Adults&lt;/title&gt;&lt;/titles&gt;&lt;number&gt;31 September 2022&lt;/number&gt;&lt;dates&gt;&lt;year&gt;2020&lt;/year&gt;&lt;/dates&gt;&lt;urls&gt;&lt;related-urls&gt;&lt;url&gt;www.health.govt.nz/publication/eating-and-activity-guidelines-new-zealand-adults&lt;/url&gt;&lt;/related-urls&gt;&lt;/urls&gt;&lt;/record&gt;&lt;/Cite&gt;&lt;/EndNote&gt;</w:instrText>
      </w:r>
      <w:r w:rsidRPr="0007414B">
        <w:fldChar w:fldCharType="separate"/>
      </w:r>
      <w:r w:rsidRPr="0007414B">
        <w:t>(Manatū Hauora 2020a)</w:t>
      </w:r>
      <w:r w:rsidRPr="0007414B">
        <w:fldChar w:fldCharType="end"/>
      </w:r>
      <w:r w:rsidRPr="0007414B">
        <w:t>.</w:t>
      </w:r>
    </w:p>
    <w:p w14:paraId="6249124A" w14:textId="77777777" w:rsidR="00395CB9" w:rsidRPr="0007414B" w:rsidRDefault="00395CB9" w:rsidP="00395CB9">
      <w:pPr>
        <w:rPr>
          <w:rFonts w:eastAsia="DengXian Light"/>
          <w:szCs w:val="21"/>
        </w:rPr>
      </w:pPr>
    </w:p>
    <w:p w14:paraId="0DA22BAF" w14:textId="18A02849" w:rsidR="00395CB9" w:rsidRPr="0007414B" w:rsidRDefault="00395CB9" w:rsidP="00034F2D">
      <w:pPr>
        <w:rPr>
          <w:rFonts w:eastAsia="DengXian Light" w:cs="Segoe UI"/>
          <w:color w:val="414042"/>
          <w:sz w:val="20"/>
        </w:rPr>
      </w:pPr>
      <w:r w:rsidRPr="0007414B">
        <w:rPr>
          <w:rFonts w:eastAsia="DengXian Light"/>
        </w:rPr>
        <w:t>In 2020, Manatū Hauora u</w:t>
      </w:r>
      <w:r w:rsidRPr="00DD3044">
        <w:t>pdated the guidelines on the recommended number of servings of fruit per day</w:t>
      </w:r>
      <w:r w:rsidRPr="0007414B">
        <w:rPr>
          <w:rFonts w:eastAsia="DengXian Light"/>
        </w:rPr>
        <w:t xml:space="preserve"> </w:t>
      </w:r>
      <w:r w:rsidRPr="00DD3044">
        <w:fldChar w:fldCharType="begin"/>
      </w:r>
      <w:r w:rsidRPr="00DD3044">
        <w:instrText xml:space="preserve"> ADDIN EN.CITE &lt;EndNote&gt;&lt;Cite&gt;&lt;Author&gt;Manatū Hauora&lt;/Author&gt;&lt;Year&gt;2020&lt;/Year&gt;&lt;RecNum&gt;49&lt;/RecNum&gt;&lt;DisplayText&gt;(Manatū Hauora 2020a)&lt;/DisplayText&gt;&lt;record&gt;&lt;rec-number&gt;49&lt;/rec-number&gt;&lt;foreign-keys&gt;&lt;key app="EN" db-id="aaepvppzs5wtfse95vsp2wahsrtvva2vvdet" timestamp="1632345653"&gt;49&lt;/key&gt;&lt;/foreign-keys&gt;&lt;ref-type name="Web Page"&gt;12&lt;/ref-type&gt;&lt;contributors&gt;&lt;authors&gt;&lt;author&gt;&lt;style face="normal" font="default" size="100%"&gt;Manat&lt;/style&gt;&lt;style face="normal" font="default" charset="238" size="100%"&gt;ū Hauora,&lt;/style&gt;&lt;/author&gt;&lt;/authors&gt;&lt;/contributors&gt;&lt;titles&gt;&lt;title&gt;Eating and Activity Guidelines for New Zealand Adults&lt;/title&gt;&lt;/titles&gt;&lt;number&gt;31 September 2022&lt;/number&gt;&lt;dates&gt;&lt;year&gt;2020&lt;/year&gt;&lt;/dates&gt;&lt;urls&gt;&lt;related-urls&gt;&lt;url&gt;www.health.govt.nz/publication/eating-and-activity-guidelines-new-zealand-adults&lt;/url&gt;&lt;/related-urls&gt;&lt;/urls&gt;&lt;/record&gt;&lt;/Cite&gt;&lt;/EndNote&gt;</w:instrText>
      </w:r>
      <w:r w:rsidRPr="00DD3044">
        <w:fldChar w:fldCharType="separate"/>
      </w:r>
      <w:r w:rsidRPr="00DD3044">
        <w:t>(Manatū Hauora 2020a)</w:t>
      </w:r>
      <w:r w:rsidRPr="00DD3044">
        <w:fldChar w:fldCharType="end"/>
      </w:r>
      <w:r w:rsidRPr="0007414B">
        <w:rPr>
          <w:rFonts w:eastAsia="DengXian Light"/>
        </w:rPr>
        <w:t xml:space="preserve">. Aotearoa New Zealand has updated its serving size advice by adopting the evidence-based Australian advice on serve size. </w:t>
      </w:r>
    </w:p>
    <w:p w14:paraId="07A195EB" w14:textId="77777777" w:rsidR="00034F2D" w:rsidRDefault="00034F2D" w:rsidP="00034F2D">
      <w:bookmarkStart w:id="132" w:name="_Ref135314655"/>
      <w:bookmarkStart w:id="133" w:name="_Toc138327001"/>
    </w:p>
    <w:p w14:paraId="5D0106FA" w14:textId="77777777" w:rsidR="00034F2D" w:rsidRDefault="00034F2D" w:rsidP="00034F2D">
      <w:r>
        <w:t xml:space="preserve">Table 6 shows the reported percentages of adults eating the recommended amount of fruit (2 servings per day for men and women) and vegetables (5 servings or more each day), by population group. This data is from the Health Survey for the single year of 2021/22 (Manatū Hauora 2023a). </w:t>
      </w:r>
    </w:p>
    <w:p w14:paraId="5683AE8E" w14:textId="77777777" w:rsidR="004B1165" w:rsidRDefault="004B1165" w:rsidP="00395CB9">
      <w:pPr>
        <w:pStyle w:val="Table"/>
        <w:sectPr w:rsidR="004B1165" w:rsidSect="00025EAD">
          <w:pgSz w:w="11907" w:h="16834" w:code="9"/>
          <w:pgMar w:top="1418" w:right="1701" w:bottom="1134" w:left="1843" w:header="284" w:footer="425" w:gutter="284"/>
          <w:cols w:space="720"/>
        </w:sectPr>
      </w:pPr>
    </w:p>
    <w:p w14:paraId="21728097" w14:textId="6D2325C5" w:rsidR="00395CB9" w:rsidRPr="0007414B" w:rsidRDefault="00395CB9" w:rsidP="00395CB9">
      <w:pPr>
        <w:pStyle w:val="Table"/>
      </w:pPr>
      <w:bookmarkStart w:id="134" w:name="_Toc138409982"/>
      <w:r w:rsidRPr="0007414B">
        <w:lastRenderedPageBreak/>
        <w:t xml:space="preserve">Table </w:t>
      </w:r>
      <w:r>
        <w:fldChar w:fldCharType="begin"/>
      </w:r>
      <w:r>
        <w:instrText>SEQ Table \* ARABIC</w:instrText>
      </w:r>
      <w:r>
        <w:fldChar w:fldCharType="separate"/>
      </w:r>
      <w:r w:rsidR="00BE208D">
        <w:rPr>
          <w:noProof/>
        </w:rPr>
        <w:t>6</w:t>
      </w:r>
      <w:r>
        <w:fldChar w:fldCharType="end"/>
      </w:r>
      <w:bookmarkEnd w:id="132"/>
      <w:r w:rsidRPr="0007414B">
        <w:t>: Percentage of adults consuming the recommended daily amount of fruit and vegetables, by population group, 2021/22</w:t>
      </w:r>
      <w:bookmarkEnd w:id="133"/>
      <w:bookmarkEnd w:id="134"/>
    </w:p>
    <w:tbl>
      <w:tblPr>
        <w:tblStyle w:val="TableGrid"/>
        <w:tblW w:w="836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552"/>
        <w:gridCol w:w="2906"/>
        <w:gridCol w:w="2906"/>
      </w:tblGrid>
      <w:tr w:rsidR="00395CB9" w:rsidRPr="0007414B" w14:paraId="0CEF30D6" w14:textId="77777777" w:rsidTr="00B72E41">
        <w:tc>
          <w:tcPr>
            <w:tcW w:w="2552" w:type="dxa"/>
            <w:vMerge w:val="restart"/>
            <w:tcBorders>
              <w:top w:val="nil"/>
            </w:tcBorders>
            <w:shd w:val="clear" w:color="auto" w:fill="D9D9D9" w:themeFill="background1" w:themeFillShade="D9"/>
            <w:vAlign w:val="center"/>
          </w:tcPr>
          <w:p w14:paraId="40BBD42E" w14:textId="77777777" w:rsidR="00395CB9" w:rsidRPr="00395CB9" w:rsidRDefault="00395CB9" w:rsidP="00395CB9">
            <w:pPr>
              <w:pStyle w:val="TableText"/>
              <w:rPr>
                <w:rFonts w:eastAsia="DengXian Light"/>
                <w:b/>
                <w:bCs/>
              </w:rPr>
            </w:pPr>
            <w:r w:rsidRPr="00395CB9">
              <w:rPr>
                <w:rFonts w:eastAsia="DengXian Light"/>
                <w:b/>
                <w:bCs/>
              </w:rPr>
              <w:t>Population group</w:t>
            </w:r>
          </w:p>
        </w:tc>
        <w:tc>
          <w:tcPr>
            <w:tcW w:w="5812" w:type="dxa"/>
            <w:gridSpan w:val="2"/>
            <w:tcBorders>
              <w:top w:val="nil"/>
            </w:tcBorders>
            <w:shd w:val="clear" w:color="auto" w:fill="D9D9D9" w:themeFill="background1" w:themeFillShade="D9"/>
            <w:vAlign w:val="center"/>
          </w:tcPr>
          <w:p w14:paraId="00C7D2D0" w14:textId="4C498B99" w:rsidR="00395CB9" w:rsidRPr="00395CB9" w:rsidRDefault="00395CB9" w:rsidP="00395CB9">
            <w:pPr>
              <w:pStyle w:val="TableText"/>
              <w:jc w:val="center"/>
              <w:rPr>
                <w:rFonts w:eastAsia="DengXian Light"/>
                <w:b/>
                <w:bCs/>
              </w:rPr>
            </w:pPr>
            <w:r w:rsidRPr="00395CB9">
              <w:rPr>
                <w:rFonts w:eastAsia="DengXian Light"/>
                <w:b/>
                <w:bCs/>
              </w:rPr>
              <w:t>Percentage of adults consuming recommended daily amount</w:t>
            </w:r>
          </w:p>
        </w:tc>
      </w:tr>
      <w:tr w:rsidR="00395CB9" w:rsidRPr="0007414B" w14:paraId="4FE94264" w14:textId="77777777" w:rsidTr="00B72E41">
        <w:tc>
          <w:tcPr>
            <w:tcW w:w="2552" w:type="dxa"/>
            <w:vMerge/>
            <w:tcBorders>
              <w:bottom w:val="nil"/>
            </w:tcBorders>
            <w:shd w:val="clear" w:color="auto" w:fill="D9D9D9" w:themeFill="background1" w:themeFillShade="D9"/>
          </w:tcPr>
          <w:p w14:paraId="4F3128DB" w14:textId="77777777" w:rsidR="00395CB9" w:rsidRPr="00395CB9" w:rsidRDefault="00395CB9" w:rsidP="00395CB9">
            <w:pPr>
              <w:pStyle w:val="TableText"/>
              <w:rPr>
                <w:rFonts w:eastAsia="DengXian Light"/>
                <w:b/>
                <w:bCs/>
              </w:rPr>
            </w:pPr>
          </w:p>
        </w:tc>
        <w:tc>
          <w:tcPr>
            <w:tcW w:w="2906" w:type="dxa"/>
            <w:tcBorders>
              <w:bottom w:val="nil"/>
            </w:tcBorders>
            <w:shd w:val="clear" w:color="auto" w:fill="D9D9D9" w:themeFill="background1" w:themeFillShade="D9"/>
            <w:vAlign w:val="center"/>
          </w:tcPr>
          <w:p w14:paraId="2BF937DB" w14:textId="77777777" w:rsidR="00395CB9" w:rsidRPr="00395CB9" w:rsidRDefault="00395CB9" w:rsidP="00395CB9">
            <w:pPr>
              <w:pStyle w:val="TableText"/>
              <w:jc w:val="center"/>
              <w:rPr>
                <w:rFonts w:eastAsia="DengXian Light"/>
                <w:b/>
                <w:bCs/>
              </w:rPr>
            </w:pPr>
            <w:r w:rsidRPr="00395CB9">
              <w:rPr>
                <w:rFonts w:eastAsia="DengXian Light"/>
                <w:b/>
                <w:bCs/>
              </w:rPr>
              <w:t>Fruit</w:t>
            </w:r>
          </w:p>
        </w:tc>
        <w:tc>
          <w:tcPr>
            <w:tcW w:w="2906" w:type="dxa"/>
            <w:tcBorders>
              <w:bottom w:val="nil"/>
            </w:tcBorders>
            <w:shd w:val="clear" w:color="auto" w:fill="D9D9D9" w:themeFill="background1" w:themeFillShade="D9"/>
            <w:vAlign w:val="center"/>
          </w:tcPr>
          <w:p w14:paraId="12E0AA12" w14:textId="77777777" w:rsidR="00395CB9" w:rsidRPr="00395CB9" w:rsidRDefault="00395CB9" w:rsidP="00395CB9">
            <w:pPr>
              <w:pStyle w:val="TableText"/>
              <w:jc w:val="center"/>
              <w:rPr>
                <w:rFonts w:eastAsia="DengXian Light"/>
                <w:b/>
                <w:bCs/>
              </w:rPr>
            </w:pPr>
            <w:r w:rsidRPr="00395CB9">
              <w:rPr>
                <w:rFonts w:eastAsia="DengXian Light"/>
                <w:b/>
                <w:bCs/>
              </w:rPr>
              <w:t>Vegetables</w:t>
            </w:r>
          </w:p>
        </w:tc>
      </w:tr>
      <w:tr w:rsidR="00395CB9" w:rsidRPr="0007414B" w14:paraId="2C6FB7DA" w14:textId="77777777" w:rsidTr="00B72E41">
        <w:tc>
          <w:tcPr>
            <w:tcW w:w="2552" w:type="dxa"/>
            <w:tcBorders>
              <w:top w:val="nil"/>
            </w:tcBorders>
          </w:tcPr>
          <w:p w14:paraId="42A4C59A" w14:textId="77777777" w:rsidR="00395CB9" w:rsidRPr="0007414B" w:rsidRDefault="00395CB9" w:rsidP="00395CB9">
            <w:pPr>
              <w:pStyle w:val="TableText"/>
              <w:rPr>
                <w:rFonts w:eastAsia="DengXian Light"/>
              </w:rPr>
            </w:pPr>
            <w:r w:rsidRPr="0007414B">
              <w:rPr>
                <w:rFonts w:eastAsia="DengXian Light"/>
              </w:rPr>
              <w:t>All adults</w:t>
            </w:r>
          </w:p>
        </w:tc>
        <w:tc>
          <w:tcPr>
            <w:tcW w:w="2906" w:type="dxa"/>
            <w:tcBorders>
              <w:top w:val="nil"/>
            </w:tcBorders>
          </w:tcPr>
          <w:p w14:paraId="463D8587" w14:textId="77777777" w:rsidR="00395CB9" w:rsidRPr="0007414B" w:rsidRDefault="00395CB9" w:rsidP="00395CB9">
            <w:pPr>
              <w:pStyle w:val="TableText"/>
              <w:jc w:val="center"/>
              <w:rPr>
                <w:rFonts w:eastAsia="DengXian Light"/>
              </w:rPr>
            </w:pPr>
            <w:r w:rsidRPr="0007414B">
              <w:rPr>
                <w:rFonts w:eastAsia="DengXian Light"/>
              </w:rPr>
              <w:t>49.8%</w:t>
            </w:r>
          </w:p>
        </w:tc>
        <w:tc>
          <w:tcPr>
            <w:tcW w:w="2906" w:type="dxa"/>
            <w:tcBorders>
              <w:top w:val="nil"/>
            </w:tcBorders>
          </w:tcPr>
          <w:p w14:paraId="41386B0D" w14:textId="77777777" w:rsidR="00395CB9" w:rsidRPr="0007414B" w:rsidRDefault="00395CB9" w:rsidP="00395CB9">
            <w:pPr>
              <w:pStyle w:val="TableText"/>
              <w:jc w:val="center"/>
              <w:rPr>
                <w:rFonts w:eastAsia="DengXian Light"/>
              </w:rPr>
            </w:pPr>
            <w:r w:rsidRPr="0007414B">
              <w:rPr>
                <w:rFonts w:eastAsia="DengXian Light"/>
              </w:rPr>
              <w:t>10.4%</w:t>
            </w:r>
          </w:p>
        </w:tc>
      </w:tr>
      <w:tr w:rsidR="00395CB9" w:rsidRPr="0007414B" w14:paraId="4E9047C6" w14:textId="77777777" w:rsidTr="00B72E41">
        <w:tc>
          <w:tcPr>
            <w:tcW w:w="2552" w:type="dxa"/>
          </w:tcPr>
          <w:p w14:paraId="54ECEFC6" w14:textId="77777777" w:rsidR="00395CB9" w:rsidRPr="0007414B" w:rsidRDefault="00395CB9" w:rsidP="00395CB9">
            <w:pPr>
              <w:pStyle w:val="TableText"/>
              <w:rPr>
                <w:rFonts w:eastAsia="DengXian Light"/>
              </w:rPr>
            </w:pPr>
            <w:r w:rsidRPr="0007414B">
              <w:rPr>
                <w:rFonts w:eastAsia="DengXian Light"/>
              </w:rPr>
              <w:t xml:space="preserve">Māori adults </w:t>
            </w:r>
          </w:p>
        </w:tc>
        <w:tc>
          <w:tcPr>
            <w:tcW w:w="2906" w:type="dxa"/>
          </w:tcPr>
          <w:p w14:paraId="20B76702" w14:textId="77777777" w:rsidR="00395CB9" w:rsidRPr="0007414B" w:rsidRDefault="00395CB9" w:rsidP="00395CB9">
            <w:pPr>
              <w:pStyle w:val="TableText"/>
              <w:jc w:val="center"/>
              <w:rPr>
                <w:rFonts w:eastAsia="DengXian Light"/>
              </w:rPr>
            </w:pPr>
            <w:r w:rsidRPr="0007414B">
              <w:rPr>
                <w:rFonts w:eastAsia="DengXian Light"/>
              </w:rPr>
              <w:t>47.3%</w:t>
            </w:r>
          </w:p>
        </w:tc>
        <w:tc>
          <w:tcPr>
            <w:tcW w:w="2906" w:type="dxa"/>
          </w:tcPr>
          <w:p w14:paraId="36F776AB" w14:textId="77777777" w:rsidR="00395CB9" w:rsidRPr="0007414B" w:rsidRDefault="00395CB9" w:rsidP="00395CB9">
            <w:pPr>
              <w:pStyle w:val="TableText"/>
              <w:jc w:val="center"/>
              <w:rPr>
                <w:rFonts w:eastAsia="DengXian Light"/>
              </w:rPr>
            </w:pPr>
            <w:r w:rsidRPr="0007414B">
              <w:rPr>
                <w:rFonts w:eastAsia="DengXian Light"/>
              </w:rPr>
              <w:t>8.2%</w:t>
            </w:r>
          </w:p>
        </w:tc>
      </w:tr>
      <w:tr w:rsidR="00395CB9" w:rsidRPr="0007414B" w14:paraId="499A60D5" w14:textId="77777777" w:rsidTr="00B72E41">
        <w:tc>
          <w:tcPr>
            <w:tcW w:w="2552" w:type="dxa"/>
          </w:tcPr>
          <w:p w14:paraId="101E65FA" w14:textId="77777777" w:rsidR="00395CB9" w:rsidRPr="0007414B" w:rsidRDefault="00395CB9" w:rsidP="00395CB9">
            <w:pPr>
              <w:pStyle w:val="TableText"/>
              <w:rPr>
                <w:rFonts w:eastAsia="DengXian Light"/>
              </w:rPr>
            </w:pPr>
            <w:r w:rsidRPr="0007414B">
              <w:rPr>
                <w:rFonts w:eastAsia="DengXian Light"/>
              </w:rPr>
              <w:t>Pacific adults</w:t>
            </w:r>
          </w:p>
        </w:tc>
        <w:tc>
          <w:tcPr>
            <w:tcW w:w="2906" w:type="dxa"/>
          </w:tcPr>
          <w:p w14:paraId="793AE2A3" w14:textId="77777777" w:rsidR="00395CB9" w:rsidRPr="0007414B" w:rsidRDefault="00395CB9" w:rsidP="00395CB9">
            <w:pPr>
              <w:pStyle w:val="TableText"/>
              <w:jc w:val="center"/>
              <w:rPr>
                <w:rFonts w:eastAsia="DengXian Light"/>
              </w:rPr>
            </w:pPr>
            <w:r w:rsidRPr="0007414B">
              <w:rPr>
                <w:rFonts w:eastAsia="DengXian Light"/>
              </w:rPr>
              <w:t>52.0%</w:t>
            </w:r>
          </w:p>
        </w:tc>
        <w:tc>
          <w:tcPr>
            <w:tcW w:w="2906" w:type="dxa"/>
          </w:tcPr>
          <w:p w14:paraId="6315779B" w14:textId="77777777" w:rsidR="00395CB9" w:rsidRPr="0007414B" w:rsidRDefault="00395CB9" w:rsidP="00395CB9">
            <w:pPr>
              <w:pStyle w:val="TableText"/>
              <w:jc w:val="center"/>
              <w:rPr>
                <w:rFonts w:eastAsia="DengXian Light"/>
              </w:rPr>
            </w:pPr>
            <w:r w:rsidRPr="0007414B">
              <w:rPr>
                <w:rFonts w:eastAsia="DengXian Light"/>
              </w:rPr>
              <w:t>4.1%</w:t>
            </w:r>
          </w:p>
        </w:tc>
      </w:tr>
      <w:tr w:rsidR="00395CB9" w:rsidRPr="0007414B" w14:paraId="712DC1CD" w14:textId="77777777" w:rsidTr="00B72E41">
        <w:tc>
          <w:tcPr>
            <w:tcW w:w="2552" w:type="dxa"/>
          </w:tcPr>
          <w:p w14:paraId="428197F5" w14:textId="77777777" w:rsidR="00395CB9" w:rsidRPr="0007414B" w:rsidRDefault="00395CB9" w:rsidP="00395CB9">
            <w:pPr>
              <w:pStyle w:val="TableText"/>
              <w:rPr>
                <w:rFonts w:eastAsia="DengXian Light"/>
              </w:rPr>
            </w:pPr>
            <w:r w:rsidRPr="0007414B">
              <w:rPr>
                <w:rFonts w:eastAsia="DengXian Light"/>
              </w:rPr>
              <w:t>Asian adults</w:t>
            </w:r>
          </w:p>
        </w:tc>
        <w:tc>
          <w:tcPr>
            <w:tcW w:w="2906" w:type="dxa"/>
          </w:tcPr>
          <w:p w14:paraId="00AF5DE9" w14:textId="77777777" w:rsidR="00395CB9" w:rsidRPr="0007414B" w:rsidRDefault="00395CB9" w:rsidP="00395CB9">
            <w:pPr>
              <w:pStyle w:val="TableText"/>
              <w:jc w:val="center"/>
              <w:rPr>
                <w:rFonts w:eastAsia="DengXian Light"/>
              </w:rPr>
            </w:pPr>
            <w:r w:rsidRPr="0007414B">
              <w:rPr>
                <w:rFonts w:eastAsia="DengXian Light"/>
              </w:rPr>
              <w:t>42.5%</w:t>
            </w:r>
          </w:p>
        </w:tc>
        <w:tc>
          <w:tcPr>
            <w:tcW w:w="2906" w:type="dxa"/>
          </w:tcPr>
          <w:p w14:paraId="62B26732" w14:textId="77777777" w:rsidR="00395CB9" w:rsidRPr="0007414B" w:rsidRDefault="00395CB9" w:rsidP="00395CB9">
            <w:pPr>
              <w:pStyle w:val="TableText"/>
              <w:jc w:val="center"/>
              <w:rPr>
                <w:rFonts w:eastAsia="DengXian Light"/>
              </w:rPr>
            </w:pPr>
            <w:r w:rsidRPr="0007414B">
              <w:rPr>
                <w:rFonts w:eastAsia="DengXian Light"/>
              </w:rPr>
              <w:t>5.0%</w:t>
            </w:r>
          </w:p>
        </w:tc>
      </w:tr>
      <w:tr w:rsidR="00395CB9" w:rsidRPr="0007414B" w14:paraId="659ACC86" w14:textId="77777777" w:rsidTr="00B72E41">
        <w:tc>
          <w:tcPr>
            <w:tcW w:w="2552" w:type="dxa"/>
          </w:tcPr>
          <w:p w14:paraId="0370DC93" w14:textId="77777777" w:rsidR="00395CB9" w:rsidRPr="0007414B" w:rsidRDefault="00395CB9" w:rsidP="00395CB9">
            <w:pPr>
              <w:pStyle w:val="TableText"/>
              <w:rPr>
                <w:rFonts w:eastAsia="DengXian Light"/>
              </w:rPr>
            </w:pPr>
            <w:r w:rsidRPr="0007414B">
              <w:rPr>
                <w:rFonts w:eastAsia="DengXian Light"/>
              </w:rPr>
              <w:t>European/other adults</w:t>
            </w:r>
          </w:p>
        </w:tc>
        <w:tc>
          <w:tcPr>
            <w:tcW w:w="2906" w:type="dxa"/>
          </w:tcPr>
          <w:p w14:paraId="1BCA93B3" w14:textId="77777777" w:rsidR="00395CB9" w:rsidRPr="0007414B" w:rsidRDefault="00395CB9" w:rsidP="00395CB9">
            <w:pPr>
              <w:pStyle w:val="TableText"/>
              <w:jc w:val="center"/>
              <w:rPr>
                <w:rFonts w:eastAsia="DengXian Light"/>
              </w:rPr>
            </w:pPr>
            <w:r w:rsidRPr="0007414B">
              <w:rPr>
                <w:rFonts w:eastAsia="DengXian Light"/>
              </w:rPr>
              <w:t>51.6%</w:t>
            </w:r>
          </w:p>
        </w:tc>
        <w:tc>
          <w:tcPr>
            <w:tcW w:w="2906" w:type="dxa"/>
          </w:tcPr>
          <w:p w14:paraId="4590F884" w14:textId="77777777" w:rsidR="00395CB9" w:rsidRPr="0007414B" w:rsidRDefault="00395CB9" w:rsidP="00395CB9">
            <w:pPr>
              <w:pStyle w:val="TableText"/>
              <w:jc w:val="center"/>
              <w:rPr>
                <w:rFonts w:eastAsia="DengXian Light"/>
              </w:rPr>
            </w:pPr>
            <w:r w:rsidRPr="0007414B">
              <w:rPr>
                <w:rFonts w:eastAsia="DengXian Light"/>
              </w:rPr>
              <w:t>12.0%</w:t>
            </w:r>
          </w:p>
        </w:tc>
      </w:tr>
      <w:tr w:rsidR="00395CB9" w:rsidRPr="0007414B" w14:paraId="745BDC8C" w14:textId="77777777" w:rsidTr="00B72E41">
        <w:tc>
          <w:tcPr>
            <w:tcW w:w="2552" w:type="dxa"/>
          </w:tcPr>
          <w:p w14:paraId="7EA51215" w14:textId="77777777" w:rsidR="00395CB9" w:rsidRPr="0007414B" w:rsidRDefault="00395CB9" w:rsidP="00395CB9">
            <w:pPr>
              <w:pStyle w:val="TableText"/>
              <w:rPr>
                <w:rFonts w:eastAsia="DengXian Light"/>
              </w:rPr>
            </w:pPr>
            <w:r w:rsidRPr="0007414B">
              <w:rPr>
                <w:rFonts w:eastAsia="DengXian Light"/>
              </w:rPr>
              <w:t>Disabled adults</w:t>
            </w:r>
          </w:p>
        </w:tc>
        <w:tc>
          <w:tcPr>
            <w:tcW w:w="2906" w:type="dxa"/>
          </w:tcPr>
          <w:p w14:paraId="1DB3B4EE" w14:textId="77777777" w:rsidR="00395CB9" w:rsidRPr="0007414B" w:rsidRDefault="00395CB9" w:rsidP="00395CB9">
            <w:pPr>
              <w:pStyle w:val="TableText"/>
              <w:jc w:val="center"/>
              <w:rPr>
                <w:rFonts w:eastAsia="DengXian Light"/>
              </w:rPr>
            </w:pPr>
            <w:r w:rsidRPr="0007414B">
              <w:rPr>
                <w:rFonts w:eastAsia="DengXian Light"/>
              </w:rPr>
              <w:t>46.8%</w:t>
            </w:r>
          </w:p>
        </w:tc>
        <w:tc>
          <w:tcPr>
            <w:tcW w:w="2906" w:type="dxa"/>
          </w:tcPr>
          <w:p w14:paraId="1230C756" w14:textId="77777777" w:rsidR="00395CB9" w:rsidRPr="0007414B" w:rsidRDefault="00395CB9" w:rsidP="00395CB9">
            <w:pPr>
              <w:pStyle w:val="TableText"/>
              <w:jc w:val="center"/>
              <w:rPr>
                <w:rFonts w:eastAsia="DengXian Light"/>
              </w:rPr>
            </w:pPr>
            <w:r w:rsidRPr="0007414B">
              <w:rPr>
                <w:rFonts w:eastAsia="DengXian Light"/>
              </w:rPr>
              <w:t>9.7%</w:t>
            </w:r>
          </w:p>
        </w:tc>
      </w:tr>
      <w:tr w:rsidR="00395CB9" w:rsidRPr="0007414B" w14:paraId="0F15125A" w14:textId="77777777" w:rsidTr="00B72E41">
        <w:tc>
          <w:tcPr>
            <w:tcW w:w="2552" w:type="dxa"/>
          </w:tcPr>
          <w:p w14:paraId="0328CA71" w14:textId="77777777" w:rsidR="00395CB9" w:rsidRPr="0007414B" w:rsidRDefault="00395CB9" w:rsidP="00395CB9">
            <w:pPr>
              <w:pStyle w:val="TableText"/>
              <w:rPr>
                <w:rFonts w:eastAsia="DengXian Light"/>
              </w:rPr>
            </w:pPr>
            <w:r w:rsidRPr="0007414B">
              <w:rPr>
                <w:rFonts w:eastAsia="DengXian Light"/>
              </w:rPr>
              <w:t>Non-disabled adults</w:t>
            </w:r>
          </w:p>
        </w:tc>
        <w:tc>
          <w:tcPr>
            <w:tcW w:w="2906" w:type="dxa"/>
          </w:tcPr>
          <w:p w14:paraId="4EEB13F6" w14:textId="77777777" w:rsidR="00395CB9" w:rsidRPr="0007414B" w:rsidRDefault="00395CB9" w:rsidP="00395CB9">
            <w:pPr>
              <w:pStyle w:val="TableText"/>
              <w:jc w:val="center"/>
              <w:rPr>
                <w:rFonts w:eastAsia="DengXian Light"/>
              </w:rPr>
            </w:pPr>
            <w:r w:rsidRPr="0007414B">
              <w:rPr>
                <w:rFonts w:eastAsia="DengXian Light"/>
              </w:rPr>
              <w:t>50.1%</w:t>
            </w:r>
          </w:p>
        </w:tc>
        <w:tc>
          <w:tcPr>
            <w:tcW w:w="2906" w:type="dxa"/>
          </w:tcPr>
          <w:p w14:paraId="2B69A614" w14:textId="77777777" w:rsidR="00395CB9" w:rsidRPr="0007414B" w:rsidRDefault="00395CB9" w:rsidP="00395CB9">
            <w:pPr>
              <w:pStyle w:val="TableText"/>
              <w:jc w:val="center"/>
              <w:rPr>
                <w:rFonts w:eastAsia="DengXian Light"/>
              </w:rPr>
            </w:pPr>
            <w:r w:rsidRPr="0007414B">
              <w:rPr>
                <w:rFonts w:eastAsia="DengXian Light"/>
              </w:rPr>
              <w:t>10.4%</w:t>
            </w:r>
          </w:p>
        </w:tc>
      </w:tr>
      <w:tr w:rsidR="00395CB9" w:rsidRPr="0007414B" w14:paraId="402C0F88" w14:textId="77777777" w:rsidTr="00B72E41">
        <w:tc>
          <w:tcPr>
            <w:tcW w:w="2552" w:type="dxa"/>
          </w:tcPr>
          <w:p w14:paraId="366DCC4E" w14:textId="77777777" w:rsidR="00395CB9" w:rsidRPr="0007414B" w:rsidRDefault="00395CB9" w:rsidP="00395CB9">
            <w:pPr>
              <w:pStyle w:val="TableText"/>
              <w:rPr>
                <w:rFonts w:eastAsia="DengXian Light"/>
              </w:rPr>
            </w:pPr>
            <w:r w:rsidRPr="0007414B">
              <w:rPr>
                <w:rFonts w:eastAsia="DengXian Light"/>
              </w:rPr>
              <w:t>Living in least deprived area</w:t>
            </w:r>
          </w:p>
        </w:tc>
        <w:tc>
          <w:tcPr>
            <w:tcW w:w="2906" w:type="dxa"/>
          </w:tcPr>
          <w:p w14:paraId="2D439C5C" w14:textId="77777777" w:rsidR="00395CB9" w:rsidRPr="0007414B" w:rsidRDefault="00395CB9" w:rsidP="00395CB9">
            <w:pPr>
              <w:pStyle w:val="TableText"/>
              <w:jc w:val="center"/>
              <w:rPr>
                <w:rFonts w:eastAsia="DengXian Light"/>
              </w:rPr>
            </w:pPr>
            <w:r w:rsidRPr="0007414B">
              <w:rPr>
                <w:rFonts w:eastAsia="DengXian Light"/>
              </w:rPr>
              <w:t>53.9%</w:t>
            </w:r>
          </w:p>
        </w:tc>
        <w:tc>
          <w:tcPr>
            <w:tcW w:w="2906" w:type="dxa"/>
          </w:tcPr>
          <w:p w14:paraId="15D24EF7" w14:textId="77777777" w:rsidR="00395CB9" w:rsidRPr="0007414B" w:rsidRDefault="00395CB9" w:rsidP="00395CB9">
            <w:pPr>
              <w:pStyle w:val="TableText"/>
              <w:jc w:val="center"/>
              <w:rPr>
                <w:rFonts w:eastAsia="DengXian Light"/>
              </w:rPr>
            </w:pPr>
            <w:r w:rsidRPr="0007414B">
              <w:rPr>
                <w:rFonts w:eastAsia="DengXian Light"/>
              </w:rPr>
              <w:t>12.3%</w:t>
            </w:r>
          </w:p>
        </w:tc>
      </w:tr>
      <w:tr w:rsidR="00395CB9" w:rsidRPr="0007414B" w14:paraId="44357E7B" w14:textId="77777777" w:rsidTr="00B72E41">
        <w:tc>
          <w:tcPr>
            <w:tcW w:w="2552" w:type="dxa"/>
          </w:tcPr>
          <w:p w14:paraId="755C97EA" w14:textId="77777777" w:rsidR="00395CB9" w:rsidRPr="0007414B" w:rsidRDefault="00395CB9" w:rsidP="00395CB9">
            <w:pPr>
              <w:pStyle w:val="TableText"/>
              <w:rPr>
                <w:rFonts w:eastAsia="DengXian Light"/>
              </w:rPr>
            </w:pPr>
            <w:r w:rsidRPr="0007414B">
              <w:rPr>
                <w:rFonts w:eastAsia="DengXian Light"/>
              </w:rPr>
              <w:t>Living in most deprived area</w:t>
            </w:r>
          </w:p>
        </w:tc>
        <w:tc>
          <w:tcPr>
            <w:tcW w:w="2906" w:type="dxa"/>
          </w:tcPr>
          <w:p w14:paraId="7C3CDF18" w14:textId="77777777" w:rsidR="00395CB9" w:rsidRPr="0007414B" w:rsidRDefault="00395CB9" w:rsidP="00395CB9">
            <w:pPr>
              <w:pStyle w:val="TableText"/>
              <w:jc w:val="center"/>
              <w:rPr>
                <w:rFonts w:eastAsia="DengXian Light"/>
              </w:rPr>
            </w:pPr>
            <w:r w:rsidRPr="0007414B">
              <w:rPr>
                <w:rFonts w:eastAsia="DengXian Light"/>
              </w:rPr>
              <w:t>43.4%</w:t>
            </w:r>
          </w:p>
        </w:tc>
        <w:tc>
          <w:tcPr>
            <w:tcW w:w="2906" w:type="dxa"/>
          </w:tcPr>
          <w:p w14:paraId="46479BEC" w14:textId="77777777" w:rsidR="00395CB9" w:rsidRPr="0007414B" w:rsidRDefault="00395CB9" w:rsidP="00395CB9">
            <w:pPr>
              <w:pStyle w:val="TableText"/>
              <w:jc w:val="center"/>
              <w:rPr>
                <w:rFonts w:eastAsia="DengXian Light"/>
              </w:rPr>
            </w:pPr>
            <w:r w:rsidRPr="0007414B">
              <w:rPr>
                <w:rFonts w:eastAsia="DengXian Light"/>
              </w:rPr>
              <w:t>8.2%</w:t>
            </w:r>
          </w:p>
        </w:tc>
      </w:tr>
    </w:tbl>
    <w:p w14:paraId="5342150A" w14:textId="77777777" w:rsidR="00395CB9" w:rsidRPr="00395CB9" w:rsidRDefault="00395CB9" w:rsidP="00395CB9">
      <w:pPr>
        <w:pStyle w:val="Source"/>
        <w:rPr>
          <w:rStyle w:val="Hyperlink"/>
          <w:b w:val="0"/>
          <w:color w:val="auto"/>
        </w:rPr>
      </w:pPr>
      <w:r w:rsidRPr="00395CB9">
        <w:t xml:space="preserve">Source: </w:t>
      </w:r>
      <w:hyperlink r:id="rId88" w:anchor="!/home">
        <w:r w:rsidRPr="00395CB9">
          <w:rPr>
            <w:rStyle w:val="Hyperlink"/>
          </w:rPr>
          <w:t>Manatū Hauora (2023a</w:t>
        </w:r>
      </w:hyperlink>
      <w:r w:rsidRPr="00395CB9">
        <w:rPr>
          <w:rStyle w:val="Hyperlink"/>
        </w:rPr>
        <w:t>)</w:t>
      </w:r>
    </w:p>
    <w:p w14:paraId="6752DE92" w14:textId="77777777" w:rsidR="00395CB9" w:rsidRPr="0007414B" w:rsidRDefault="00395CB9" w:rsidP="00395CB9">
      <w:pPr>
        <w:pStyle w:val="Heading4"/>
      </w:pPr>
      <w:r w:rsidRPr="0007414B">
        <w:t xml:space="preserve">Breastfeeding </w:t>
      </w:r>
    </w:p>
    <w:p w14:paraId="713175DB" w14:textId="77777777" w:rsidR="00395CB9" w:rsidRPr="0007414B" w:rsidRDefault="00395CB9" w:rsidP="00395CB9">
      <w:pPr>
        <w:rPr>
          <w:rFonts w:cs="Segoe UI"/>
        </w:rPr>
      </w:pPr>
      <w:r w:rsidRPr="0007414B">
        <w:rPr>
          <w:rFonts w:cs="Segoe UI"/>
        </w:rPr>
        <w:t xml:space="preserve">According to the Manatū Hauora </w:t>
      </w:r>
      <w:r w:rsidRPr="00A65373">
        <w:rPr>
          <w:rFonts w:cs="Segoe UI"/>
          <w:i/>
        </w:rPr>
        <w:t>Eating and Activity Guidelines for New Zealand Adults</w:t>
      </w:r>
      <w:r w:rsidRPr="0007414B">
        <w:rPr>
          <w:rFonts w:cs="Segoe UI"/>
        </w:rPr>
        <w:t xml:space="preserve"> </w:t>
      </w:r>
      <w:r w:rsidRPr="0007414B">
        <w:rPr>
          <w:rFonts w:cs="Segoe UI"/>
        </w:rPr>
        <w:fldChar w:fldCharType="begin"/>
      </w:r>
      <w:r w:rsidRPr="0007414B">
        <w:rPr>
          <w:rFonts w:cs="Segoe UI"/>
        </w:rPr>
        <w:instrText xml:space="preserve"> ADDIN EN.CITE &lt;EndNote&gt;&lt;Cite&gt;&lt;Author&gt;Manatū Hauora&lt;/Author&gt;&lt;Year&gt;2020&lt;/Year&gt;&lt;RecNum&gt;49&lt;/RecNum&gt;&lt;DisplayText&gt;(Manatū Hauora 2020a)&lt;/DisplayText&gt;&lt;record&gt;&lt;rec-number&gt;49&lt;/rec-number&gt;&lt;foreign-keys&gt;&lt;key app="EN" db-id="aaepvppzs5wtfse95vsp2wahsrtvva2vvdet" timestamp="1632345653"&gt;49&lt;/key&gt;&lt;/foreign-keys&gt;&lt;ref-type name="Web Page"&gt;12&lt;/ref-type&gt;&lt;contributors&gt;&lt;authors&gt;&lt;author&gt;&lt;style face="normal" font="default" size="100%"&gt;Manat&lt;/style&gt;&lt;style face="normal" font="default" charset="238" size="100%"&gt;ū Hauora,&lt;/style&gt;&lt;/author&gt;&lt;/authors&gt;&lt;/contributors&gt;&lt;titles&gt;&lt;title&gt;Eating and Activity Guidelines for New Zealand Adults&lt;/title&gt;&lt;/titles&gt;&lt;number&gt;31 September 2022&lt;/number&gt;&lt;dates&gt;&lt;year&gt;2020&lt;/year&gt;&lt;/dates&gt;&lt;urls&gt;&lt;related-urls&gt;&lt;url&gt;www.health.govt.nz/publication/eating-and-activity-guidelines-new-zealand-adults&lt;/url&gt;&lt;/related-urls&gt;&lt;/urls&gt;&lt;/record&gt;&lt;/Cite&gt;&lt;/EndNote&gt;</w:instrText>
      </w:r>
      <w:r w:rsidRPr="0007414B">
        <w:rPr>
          <w:rFonts w:cs="Segoe UI"/>
        </w:rPr>
        <w:fldChar w:fldCharType="separate"/>
      </w:r>
      <w:r w:rsidRPr="0007414B">
        <w:rPr>
          <w:rFonts w:cs="Segoe UI"/>
        </w:rPr>
        <w:t>(Manatū Hauora 2020a)</w:t>
      </w:r>
      <w:r w:rsidRPr="0007414B">
        <w:rPr>
          <w:rFonts w:cs="Segoe UI"/>
        </w:rPr>
        <w:fldChar w:fldCharType="end"/>
      </w:r>
      <w:r w:rsidRPr="0007414B">
        <w:rPr>
          <w:rFonts w:cs="Segoe UI"/>
        </w:rPr>
        <w:t xml:space="preserve">, the benefits of breastfeeding for babies include helping to build a strong emotional bond between the mother and </w:t>
      </w:r>
      <w:r w:rsidRPr="0007414B">
        <w:rPr>
          <w:rFonts w:cs="Segoe UI"/>
          <w:spacing w:val="-3"/>
        </w:rPr>
        <w:t xml:space="preserve">baby, </w:t>
      </w:r>
      <w:r w:rsidRPr="0007414B">
        <w:rPr>
          <w:rFonts w:cs="Segoe UI"/>
        </w:rPr>
        <w:t xml:space="preserve">supporting brain development and reducing the risk of mental </w:t>
      </w:r>
      <w:r w:rsidRPr="0007414B">
        <w:rPr>
          <w:rFonts w:cs="Segoe UI"/>
          <w:spacing w:val="-3"/>
        </w:rPr>
        <w:t xml:space="preserve">health </w:t>
      </w:r>
      <w:r w:rsidRPr="0007414B">
        <w:rPr>
          <w:rFonts w:cs="Segoe UI"/>
        </w:rPr>
        <w:t>conditions. Breastfeeding also boosts the immune system,</w:t>
      </w:r>
      <w:r w:rsidRPr="0007414B" w:rsidDel="00E92C1E">
        <w:rPr>
          <w:rFonts w:cs="Segoe UI"/>
        </w:rPr>
        <w:t xml:space="preserve"> </w:t>
      </w:r>
      <w:r w:rsidRPr="0007414B">
        <w:rPr>
          <w:rFonts w:cs="Segoe UI"/>
        </w:rPr>
        <w:t xml:space="preserve">helps protect the baby against common childhood illnesses and decreases the chance of infant and toddler death. </w:t>
      </w:r>
    </w:p>
    <w:p w14:paraId="11834534" w14:textId="77777777" w:rsidR="00395CB9" w:rsidRPr="0007414B" w:rsidRDefault="00395CB9" w:rsidP="00395CB9">
      <w:pPr>
        <w:rPr>
          <w:rFonts w:cs="Segoe UI"/>
          <w:lang w:eastAsia="en-US"/>
        </w:rPr>
      </w:pPr>
    </w:p>
    <w:p w14:paraId="74028C11" w14:textId="77777777" w:rsidR="00395CB9" w:rsidRPr="0007414B" w:rsidRDefault="00395CB9" w:rsidP="00395CB9">
      <w:r w:rsidRPr="0007414B">
        <w:rPr>
          <w:rFonts w:eastAsia="&quot;Calibri&quot;,sans-serif" w:cs="Segoe UI"/>
        </w:rPr>
        <w:t xml:space="preserve">According to the Health Survey, the percentage of babies exclusively breastfed at 4 months has increased over time </w:t>
      </w:r>
      <w:r w:rsidRPr="0007414B">
        <w:rPr>
          <w:rFonts w:eastAsia="&quot;Calibri&quot;,sans-serif" w:cs="Segoe UI"/>
        </w:rPr>
        <w:fldChar w:fldCharType="begin"/>
      </w:r>
      <w:r w:rsidRPr="0007414B">
        <w:rPr>
          <w:rFonts w:eastAsia="&quot;Calibri&quot;,sans-serif" w:cs="Segoe UI"/>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rFonts w:eastAsia="&quot;Calibri&quot;,sans-serif" w:cs="Segoe UI"/>
        </w:rPr>
        <w:fldChar w:fldCharType="separate"/>
      </w:r>
      <w:r w:rsidRPr="0007414B">
        <w:rPr>
          <w:rFonts w:eastAsia="&quot;Calibri&quot;,sans-serif" w:cs="Segoe UI"/>
        </w:rPr>
        <w:t>(Manatū Hauora 2023a)</w:t>
      </w:r>
      <w:r w:rsidRPr="0007414B">
        <w:rPr>
          <w:rFonts w:eastAsia="&quot;Calibri&quot;,sans-serif" w:cs="Segoe UI"/>
        </w:rPr>
        <w:fldChar w:fldCharType="end"/>
      </w:r>
      <w:r w:rsidRPr="0007414B">
        <w:rPr>
          <w:rFonts w:eastAsia="&quot;Calibri&quot;,sans-serif" w:cs="Segoe UI"/>
          <w:sz w:val="20"/>
        </w:rPr>
        <w:t xml:space="preserve">, </w:t>
      </w:r>
      <w:r w:rsidRPr="0007414B">
        <w:t>rising f</w:t>
      </w:r>
      <w:r w:rsidRPr="00A65373">
        <w:t xml:space="preserve">rom 43.6% for the 3-year pooled period ending 2013/14 to 50.5% for the 3-year pooled period ending 2021/22. </w:t>
      </w:r>
      <w:r w:rsidRPr="0007414B">
        <w:t>The percentage of babies who are</w:t>
      </w:r>
      <w:r w:rsidRPr="00A65373">
        <w:t xml:space="preserve"> exclusively breastfed at </w:t>
      </w:r>
      <w:r w:rsidRPr="0007414B">
        <w:t>4</w:t>
      </w:r>
      <w:r w:rsidRPr="00A65373">
        <w:t xml:space="preserve"> months varies by </w:t>
      </w:r>
      <w:r w:rsidRPr="0007414B">
        <w:t>ethnic</w:t>
      </w:r>
      <w:r w:rsidRPr="00A65373">
        <w:t xml:space="preserve"> group:</w:t>
      </w:r>
    </w:p>
    <w:p w14:paraId="20C46083" w14:textId="77777777" w:rsidR="00395CB9" w:rsidRPr="0007414B" w:rsidRDefault="00395CB9" w:rsidP="00395CB9">
      <w:pPr>
        <w:pStyle w:val="Bullet"/>
      </w:pPr>
      <w:r w:rsidRPr="0007414B">
        <w:t>42.8% of Māori babies</w:t>
      </w:r>
    </w:p>
    <w:p w14:paraId="28B750A4" w14:textId="77777777" w:rsidR="00395CB9" w:rsidRPr="0007414B" w:rsidRDefault="00395CB9" w:rsidP="00395CB9">
      <w:pPr>
        <w:pStyle w:val="Bullet"/>
      </w:pPr>
      <w:r w:rsidRPr="0007414B">
        <w:t xml:space="preserve">47.4% of Pacific babies </w:t>
      </w:r>
    </w:p>
    <w:p w14:paraId="1B9D6F42" w14:textId="77777777" w:rsidR="00395CB9" w:rsidRPr="0007414B" w:rsidRDefault="00395CB9" w:rsidP="00395CB9">
      <w:pPr>
        <w:pStyle w:val="Bullet"/>
      </w:pPr>
      <w:r w:rsidRPr="0007414B">
        <w:t>57.3% of Asian babies</w:t>
      </w:r>
    </w:p>
    <w:p w14:paraId="01C1FBFD" w14:textId="77777777" w:rsidR="00395CB9" w:rsidRPr="0007414B" w:rsidRDefault="00395CB9" w:rsidP="00395CB9">
      <w:pPr>
        <w:pStyle w:val="Bullet"/>
      </w:pPr>
      <w:r w:rsidRPr="0007414B">
        <w:t>51.1% of European/other babies.</w:t>
      </w:r>
    </w:p>
    <w:p w14:paraId="5E16105E" w14:textId="77777777" w:rsidR="00395CB9" w:rsidRPr="0007414B" w:rsidRDefault="00395CB9" w:rsidP="00395CB9">
      <w:pPr>
        <w:pStyle w:val="Heading3"/>
      </w:pPr>
      <w:r w:rsidRPr="0007414B">
        <w:t>Obesity</w:t>
      </w:r>
    </w:p>
    <w:p w14:paraId="0F7ED64F" w14:textId="77777777" w:rsidR="00395CB9" w:rsidRPr="0007414B" w:rsidRDefault="00395CB9" w:rsidP="00395CB9">
      <w:pPr>
        <w:rPr>
          <w:rFonts w:eastAsiaTheme="minorEastAsia" w:cs="Segoe UI"/>
        </w:rPr>
      </w:pPr>
      <w:r w:rsidRPr="0007414B">
        <w:rPr>
          <w:rFonts w:eastAsiaTheme="minorEastAsia" w:cs="Segoe UI"/>
        </w:rPr>
        <w:t xml:space="preserve">Excess weight (obesity) is associated with many health conditions including type 2 diabetes, ischaemic heart disease, stroke, several common cancers, osteoarthritis and sleep apnoea </w:t>
      </w:r>
      <w:r w:rsidRPr="0007414B">
        <w:rPr>
          <w:rFonts w:eastAsiaTheme="minorEastAsia" w:cs="Segoe UI"/>
        </w:rPr>
        <w:fldChar w:fldCharType="begin"/>
      </w:r>
      <w:r>
        <w:rPr>
          <w:rFonts w:eastAsiaTheme="minorEastAsia" w:cs="Segoe UI"/>
        </w:rPr>
        <w:instrText xml:space="preserve"> ADDIN EN.CITE &lt;EndNote&gt;&lt;Cite&gt;&lt;Author&gt;Manatū Hauora&lt;/Author&gt;&lt;Year&gt;2023&lt;/Year&gt;&lt;RecNum&gt;309&lt;/RecNum&gt;&lt;DisplayText&gt;(Manatū Hauora 2023k)&lt;/DisplayText&gt;&lt;record&gt;&lt;rec-number&gt;309&lt;/rec-number&gt;&lt;foreign-keys&gt;&lt;key app="EN" db-id="aaepvppzs5wtfse95vsp2wahsrtvva2vvdet" timestamp="1683255965"&gt;309&lt;/key&gt;&lt;/foreign-keys&gt;&lt;ref-type name="Web Page"&gt;12&lt;/ref-type&gt;&lt;contributors&gt;&lt;authors&gt;&lt;author&gt;&lt;style face="normal" font="default" size="100%"&gt;Manat&lt;/style&gt;&lt;style face="normal" font="default" charset="238" size="100%"&gt;ū Hauora,&lt;/style&gt;&lt;/author&gt;&lt;/authors&gt;&lt;/contributors&gt;&lt;titles&gt;&lt;title&gt;Obesity&lt;/title&gt;&lt;/titles&gt;&lt;number&gt;5 May 2023&lt;/number&gt;&lt;dates&gt;&lt;year&gt;2023&lt;/year&gt;&lt;/dates&gt;&lt;urls&gt;&lt;related-urls&gt;&lt;url&gt;www.health.govt.nz/our-work/diseases-and-conditions/obesity&lt;/url&gt;&lt;/related-urls&gt;&lt;/urls&gt;&lt;/record&gt;&lt;/Cite&gt;&lt;/EndNote&gt;</w:instrText>
      </w:r>
      <w:r w:rsidRPr="0007414B">
        <w:rPr>
          <w:rFonts w:eastAsiaTheme="minorEastAsia" w:cs="Segoe UI"/>
        </w:rPr>
        <w:fldChar w:fldCharType="separate"/>
      </w:r>
      <w:r w:rsidRPr="0007414B">
        <w:rPr>
          <w:rFonts w:eastAsiaTheme="minorEastAsia" w:cs="Segoe UI"/>
          <w:noProof/>
        </w:rPr>
        <w:t>(Manatū Hauora 2023k)</w:t>
      </w:r>
      <w:r w:rsidRPr="0007414B">
        <w:rPr>
          <w:rFonts w:eastAsiaTheme="minorEastAsia" w:cs="Segoe UI"/>
        </w:rPr>
        <w:fldChar w:fldCharType="end"/>
      </w:r>
      <w:r w:rsidRPr="0007414B">
        <w:rPr>
          <w:rFonts w:eastAsiaTheme="minorEastAsia" w:cs="Segoe UI"/>
        </w:rPr>
        <w:t>. Obesity is defined as having a body mass index of 30 or more (or equivalent for those younger than 18 years).</w:t>
      </w:r>
    </w:p>
    <w:p w14:paraId="0FF05C09" w14:textId="77777777" w:rsidR="00395CB9" w:rsidRPr="0007414B" w:rsidRDefault="00395CB9" w:rsidP="00395CB9">
      <w:pPr>
        <w:rPr>
          <w:rFonts w:cs="Segoe UI"/>
        </w:rPr>
      </w:pPr>
    </w:p>
    <w:p w14:paraId="130775C0" w14:textId="77777777" w:rsidR="00395CB9" w:rsidRPr="0007414B" w:rsidRDefault="00395CB9" w:rsidP="00395CB9">
      <w:pPr>
        <w:rPr>
          <w:rFonts w:cs="Segoe UI"/>
        </w:rPr>
      </w:pPr>
      <w:r w:rsidRPr="0007414B">
        <w:rPr>
          <w:rFonts w:cs="Segoe UI"/>
        </w:rPr>
        <w:t xml:space="preserve">Obesity is usually measured as part of the Health Survey. However, this information was not collected in the 2021/22 survey due to physical distancing requirements during the COVID-19 pandemic, so this report uses data from a sample of general </w:t>
      </w:r>
      <w:r w:rsidRPr="0007414B">
        <w:rPr>
          <w:rFonts w:cs="Segoe UI"/>
        </w:rPr>
        <w:lastRenderedPageBreak/>
        <w:t xml:space="preserve">practices instead </w:t>
      </w:r>
      <w:r w:rsidRPr="0007414B">
        <w:rPr>
          <w:rFonts w:cs="Segoe UI"/>
        </w:rPr>
        <w:fldChar w:fldCharType="begin"/>
      </w:r>
      <w:r>
        <w:rPr>
          <w:rFonts w:cs="Segoe UI"/>
        </w:rPr>
        <w:instrText xml:space="preserve"> ADDIN EN.CITE &lt;EndNote&gt;&lt;Cite&gt;&lt;Author&gt;Manatū Hauora&lt;/Author&gt;&lt;Year&gt;2022&lt;/Year&gt;&lt;RecNum&gt;310&lt;/RecNum&gt;&lt;DisplayText&gt;(Manatū Hauora 2022k)&lt;/DisplayText&gt;&lt;record&gt;&lt;rec-number&gt;310&lt;/rec-number&gt;&lt;foreign-keys&gt;&lt;key app="EN" db-id="aaepvppzs5wtfse95vsp2wahsrtvva2vvdet" timestamp="1683256033"&gt;310&lt;/key&gt;&lt;/foreign-keys&gt;&lt;ref-type name="Web Page"&gt;12&lt;/ref-type&gt;&lt;contributors&gt;&lt;authors&gt;&lt;author&gt;&lt;style face="normal" font="default" size="100%"&gt;Manat&lt;/style&gt;&lt;style face="normal" font="default" charset="238" size="100%"&gt;ū Hauora,&lt;/style&gt;&lt;/author&gt;&lt;/authors&gt;&lt;/contributors&gt;&lt;titles&gt;&lt;title&gt;Obesity in 2021/22&lt;/title&gt;&lt;/titles&gt;&lt;number&gt;5 May 2023&lt;/number&gt;&lt;dates&gt;&lt;year&gt;2022&lt;/year&gt;&lt;/dates&gt;&lt;urls&gt;&lt;related-urls&gt;&lt;url&gt;www.health.govt.nz/system/files/documents/publications/obesity_in_2021-22_16nov.pdf&lt;/url&gt;&lt;/related-urls&gt;&lt;/urls&gt;&lt;/record&gt;&lt;/Cite&gt;&lt;/EndNote&gt;</w:instrText>
      </w:r>
      <w:r w:rsidRPr="0007414B">
        <w:rPr>
          <w:rFonts w:cs="Segoe UI"/>
        </w:rPr>
        <w:fldChar w:fldCharType="separate"/>
      </w:r>
      <w:r w:rsidRPr="0007414B">
        <w:rPr>
          <w:rFonts w:cs="Segoe UI"/>
          <w:noProof/>
        </w:rPr>
        <w:t>(Manatū Hauora 2022k)</w:t>
      </w:r>
      <w:r w:rsidRPr="0007414B">
        <w:rPr>
          <w:rFonts w:cs="Segoe UI"/>
        </w:rPr>
        <w:fldChar w:fldCharType="end"/>
      </w:r>
      <w:r w:rsidRPr="0007414B">
        <w:rPr>
          <w:rFonts w:cs="Segoe UI"/>
        </w:rPr>
        <w:t>. This data suggests that obesity rates did not increase over the last year (2021/22), with stable trends for adults and a small decline for children. However, the estimated obesity rate among adults in 2021/22 is higher than in 2017/18. Note that because the Health Survey and general practice data sets are different, trends should be interpreted with caution.</w:t>
      </w:r>
    </w:p>
    <w:p w14:paraId="6E2696B6" w14:textId="77777777" w:rsidR="00395CB9" w:rsidRPr="0007414B" w:rsidRDefault="00395CB9" w:rsidP="00395CB9">
      <w:pPr>
        <w:pStyle w:val="Heading2"/>
        <w:rPr>
          <w:rFonts w:cs="Segoe UI"/>
        </w:rPr>
      </w:pPr>
      <w:bookmarkStart w:id="135" w:name="_Toc138326934"/>
      <w:bookmarkStart w:id="136" w:name="_Toc139030820"/>
      <w:r w:rsidRPr="0007414B">
        <w:rPr>
          <w:rFonts w:cs="Segoe UI"/>
        </w:rPr>
        <w:t>Health service use and health care</w:t>
      </w:r>
      <w:bookmarkEnd w:id="135"/>
      <w:bookmarkEnd w:id="136"/>
    </w:p>
    <w:p w14:paraId="5970AEBD" w14:textId="6D692DDA" w:rsidR="00395CB9" w:rsidRPr="0007414B" w:rsidRDefault="004B1165" w:rsidP="00B72E41">
      <w:pPr>
        <w:pStyle w:val="Heading3"/>
      </w:pPr>
      <w:r>
        <w:t>P</w:t>
      </w:r>
      <w:r w:rsidR="00395CB9" w:rsidRPr="0007414B">
        <w:t xml:space="preserve">rimary and community </w:t>
      </w:r>
      <w:r w:rsidR="00395CB9">
        <w:t xml:space="preserve">health </w:t>
      </w:r>
      <w:r w:rsidR="00395CB9" w:rsidRPr="0007414B">
        <w:t>care services</w:t>
      </w:r>
    </w:p>
    <w:p w14:paraId="52EC74C8" w14:textId="77777777" w:rsidR="00395CB9" w:rsidRPr="0007414B" w:rsidRDefault="00395CB9" w:rsidP="00395CB9">
      <w:pPr>
        <w:rPr>
          <w:rFonts w:cs="Segoe UI"/>
        </w:rPr>
      </w:pPr>
      <w:r w:rsidRPr="0007414B">
        <w:rPr>
          <w:rFonts w:cs="Segoe UI"/>
        </w:rPr>
        <w:t xml:space="preserve">Primary and community </w:t>
      </w:r>
      <w:r>
        <w:rPr>
          <w:rFonts w:cs="Segoe UI"/>
        </w:rPr>
        <w:t xml:space="preserve">health </w:t>
      </w:r>
      <w:r w:rsidRPr="0007414B">
        <w:rPr>
          <w:rFonts w:cs="Segoe UI"/>
        </w:rPr>
        <w:t xml:space="preserve">care services are the health services that New Zealanders most often interact with when accessing health care in local areas and at home </w:t>
      </w:r>
      <w:r w:rsidRPr="0007414B">
        <w:rPr>
          <w:rFonts w:cs="Segoe UI"/>
        </w:rPr>
        <w:fldChar w:fldCharType="begin"/>
      </w:r>
      <w:r>
        <w:rPr>
          <w:rFonts w:cs="Segoe UI"/>
        </w:rPr>
        <w:instrText xml:space="preserve"> ADDIN EN.CITE &lt;EndNote&gt;&lt;Cite&gt;&lt;Author&gt;Department of the Prime Minister and Cabinet&lt;/Author&gt;&lt;Year&gt;2021&lt;/Year&gt;&lt;RecNum&gt;311&lt;/RecNum&gt;&lt;DisplayText&gt;(Department of the Prime Minister and Cabinet 2021)&lt;/DisplayText&gt;&lt;record&gt;&lt;rec-number&gt;311&lt;/rec-number&gt;&lt;foreign-keys&gt;&lt;key app="EN" db-id="aaepvppzs5wtfse95vsp2wahsrtvva2vvdet" timestamp="1683256180"&gt;311&lt;/key&gt;&lt;/foreign-keys&gt;&lt;ref-type name="Web Page"&gt;12&lt;/ref-type&gt;&lt;contributors&gt;&lt;authors&gt;&lt;author&gt;Department of the Prime Minister and Cabinet,&lt;/author&gt;&lt;/authors&gt;&lt;/contributors&gt;&lt;titles&gt;&lt;title&gt;Our health and disability system&lt;/title&gt;&lt;/titles&gt;&lt;number&gt;5 May 2023&lt;/number&gt;&lt;dates&gt;&lt;year&gt;2021&lt;/year&gt;&lt;/dates&gt;&lt;urls&gt;&lt;related-urls&gt;&lt;url&gt;www.dpmc.govt.nz/sites/default/files/2021-04/htu-factsheet-primary-and-community-care-en-apr21.pdf&lt;/url&gt;&lt;/related-urls&gt;&lt;/urls&gt;&lt;/record&gt;&lt;/Cite&gt;&lt;/EndNote&gt;</w:instrText>
      </w:r>
      <w:r w:rsidRPr="0007414B">
        <w:rPr>
          <w:rFonts w:cs="Segoe UI"/>
        </w:rPr>
        <w:fldChar w:fldCharType="separate"/>
      </w:r>
      <w:r w:rsidRPr="0007414B">
        <w:rPr>
          <w:rFonts w:cs="Segoe UI"/>
          <w:noProof/>
        </w:rPr>
        <w:t>(Department of the Prime Minister and Cabinet 2021)</w:t>
      </w:r>
      <w:r w:rsidRPr="0007414B">
        <w:rPr>
          <w:rFonts w:cs="Segoe UI"/>
        </w:rPr>
        <w:fldChar w:fldCharType="end"/>
      </w:r>
      <w:r w:rsidRPr="0007414B">
        <w:rPr>
          <w:rFonts w:cs="Segoe UI"/>
        </w:rPr>
        <w:t>. They include services delivered by general practitioners, nurse practitioners, pharmacists, midwives, Well Child nurses, Māori and Pacific providers, dentists and dental therapists, home care workers, district nurses, community mental health services, public health nurses and aged care providers.</w:t>
      </w:r>
    </w:p>
    <w:p w14:paraId="0EC350B3" w14:textId="77777777" w:rsidR="00395CB9" w:rsidRPr="0007414B" w:rsidRDefault="00395CB9" w:rsidP="00395CB9">
      <w:pPr>
        <w:pStyle w:val="Heading4"/>
      </w:pPr>
      <w:bookmarkStart w:id="137" w:name="_Toc118452230"/>
      <w:bookmarkStart w:id="138" w:name="_Toc119312991"/>
      <w:r w:rsidRPr="0007414B">
        <w:t>Enrolment with a primary health organisation</w:t>
      </w:r>
      <w:bookmarkEnd w:id="137"/>
      <w:bookmarkEnd w:id="138"/>
      <w:r w:rsidRPr="0007414B">
        <w:t xml:space="preserve"> </w:t>
      </w:r>
    </w:p>
    <w:p w14:paraId="75FB9992" w14:textId="7710FFD3" w:rsidR="00395CB9" w:rsidRDefault="00395CB9" w:rsidP="004B1165">
      <w:r w:rsidRPr="0007414B">
        <w:t>On 31 December 2022, an estimated 94.4%</w:t>
      </w:r>
      <w:r w:rsidRPr="0007414B">
        <w:rPr>
          <w:b/>
        </w:rPr>
        <w:t xml:space="preserve"> </w:t>
      </w:r>
      <w:r w:rsidRPr="0007414B">
        <w:t xml:space="preserve">of the Aotearoa New Zealand population were enrolled with a primary health organisation (PHO) through a general practice </w:t>
      </w:r>
      <w:r w:rsidRPr="0007414B">
        <w:fldChar w:fldCharType="begin"/>
      </w:r>
      <w:r>
        <w:instrText xml:space="preserve"> ADDIN EN.CITE &lt;EndNote&gt;&lt;Cite&gt;&lt;Author&gt;Te Whatu Ora&lt;/Author&gt;&lt;Year&gt;2023&lt;/Year&gt;&lt;RecNum&gt;380&lt;/RecNum&gt;&lt;DisplayText&gt;(Te Whatu Ora 2023f)&lt;/DisplayText&gt;&lt;record&gt;&lt;rec-number&gt;380&lt;/rec-number&gt;&lt;foreign-keys&gt;&lt;key app="EN" db-id="aaepvppzs5wtfse95vsp2wahsrtvva2vvdet" timestamp="1684386707"&gt;380&lt;/key&gt;&lt;/foreign-keys&gt;&lt;ref-type name="Web Page"&gt;12&lt;/ref-type&gt;&lt;contributors&gt;&lt;authors&gt;&lt;author&gt;Te Whatu Ora,&lt;/author&gt;&lt;/authors&gt;&lt;/contributors&gt;&lt;titles&gt;&lt;title&gt;Enrolment with a general practice and primary health organisation&lt;/title&gt;&lt;/titles&gt;&lt;number&gt;18 May 2023&lt;/number&gt;&lt;dates&gt;&lt;year&gt;2023&lt;/year&gt;&lt;/dates&gt;&lt;urls&gt;&lt;related-urls&gt;&lt;url&gt;www.tewhatuora.govt.nz/our-health-system/primary-care-sector/primary-health-organisations/enrolment-with-a-general-practice-and-primary-health-organisation/&lt;/url&gt;&lt;/related-urls&gt;&lt;/urls&gt;&lt;/record&gt;&lt;/Cite&gt;&lt;/EndNote&gt;</w:instrText>
      </w:r>
      <w:r w:rsidRPr="0007414B">
        <w:fldChar w:fldCharType="separate"/>
      </w:r>
      <w:r w:rsidRPr="0007414B">
        <w:rPr>
          <w:noProof/>
        </w:rPr>
        <w:t>(Te Whatu Ora 2023f)</w:t>
      </w:r>
      <w:r w:rsidRPr="0007414B">
        <w:fldChar w:fldCharType="end"/>
      </w:r>
      <w:r w:rsidRPr="0007414B">
        <w:t>.</w:t>
      </w:r>
      <w:r w:rsidRPr="0007414B">
        <w:rPr>
          <w:rStyle w:val="FootnoteReference"/>
          <w:rFonts w:cs="Segoe UI"/>
        </w:rPr>
        <w:footnoteReference w:id="17"/>
      </w:r>
      <w:r w:rsidRPr="0007414B">
        <w:t xml:space="preserve"> Although enrolling with a PHO is voluntary, it can provide benefits such as cheaper doctor visits and reduced costs of prescription medicines </w:t>
      </w:r>
      <w:r w:rsidRPr="0007414B">
        <w:fldChar w:fldCharType="begin"/>
      </w:r>
      <w:r>
        <w:instrText xml:space="preserve"> ADDIN EN.CITE &lt;EndNote&gt;&lt;Cite&gt;&lt;Author&gt;Te Whatu Ora&lt;/Author&gt;&lt;Year&gt;2023&lt;/Year&gt;&lt;RecNum&gt;380&lt;/RecNum&gt;&lt;DisplayText&gt;(Te Whatu Ora 2023f)&lt;/DisplayText&gt;&lt;record&gt;&lt;rec-number&gt;380&lt;/rec-number&gt;&lt;foreign-keys&gt;&lt;key app="EN" db-id="aaepvppzs5wtfse95vsp2wahsrtvva2vvdet" timestamp="1684386707"&gt;380&lt;/key&gt;&lt;/foreign-keys&gt;&lt;ref-type name="Web Page"&gt;12&lt;/ref-type&gt;&lt;contributors&gt;&lt;authors&gt;&lt;author&gt;Te Whatu Ora,&lt;/author&gt;&lt;/authors&gt;&lt;/contributors&gt;&lt;titles&gt;&lt;title&gt;Enrolment with a general practice and primary health organisation&lt;/title&gt;&lt;/titles&gt;&lt;number&gt;18 May 2023&lt;/number&gt;&lt;dates&gt;&lt;year&gt;2023&lt;/year&gt;&lt;/dates&gt;&lt;urls&gt;&lt;related-urls&gt;&lt;url&gt;www.tewhatuora.govt.nz/our-health-system/primary-care-sector/primary-health-organisations/enrolment-with-a-general-practice-and-primary-health-organisation/&lt;/url&gt;&lt;/related-urls&gt;&lt;/urls&gt;&lt;/record&gt;&lt;/Cite&gt;&lt;/EndNote&gt;</w:instrText>
      </w:r>
      <w:r w:rsidRPr="0007414B">
        <w:fldChar w:fldCharType="separate"/>
      </w:r>
      <w:r w:rsidRPr="0007414B">
        <w:rPr>
          <w:noProof/>
        </w:rPr>
        <w:t>(Te Whatu Ora 2023f)</w:t>
      </w:r>
      <w:r w:rsidRPr="0007414B">
        <w:fldChar w:fldCharType="end"/>
      </w:r>
      <w:r w:rsidRPr="0007414B">
        <w:t xml:space="preserve">. </w:t>
      </w:r>
    </w:p>
    <w:p w14:paraId="623336C3" w14:textId="77777777" w:rsidR="004B1165" w:rsidRPr="0007414B" w:rsidRDefault="004B1165" w:rsidP="004B1165"/>
    <w:p w14:paraId="503F7F3B" w14:textId="77777777" w:rsidR="00395CB9" w:rsidRPr="0007414B" w:rsidRDefault="00395CB9" w:rsidP="004B1165">
      <w:pPr>
        <w:rPr>
          <w:spacing w:val="-2"/>
        </w:rPr>
      </w:pPr>
      <w:r w:rsidRPr="0007414B">
        <w:rPr>
          <w:spacing w:val="-2"/>
        </w:rPr>
        <w:t xml:space="preserve">Periodic analysis indicates around 300,000 people who have used health services are not enrolled with a PHO </w:t>
      </w:r>
      <w:r w:rsidRPr="0007414B">
        <w:rPr>
          <w:spacing w:val="-2"/>
        </w:rPr>
        <w:fldChar w:fldCharType="begin"/>
      </w:r>
      <w:r>
        <w:rPr>
          <w:spacing w:val="-2"/>
        </w:rPr>
        <w:instrText xml:space="preserve"> ADDIN EN.CITE &lt;EndNote&gt;&lt;Cite&gt;&lt;Author&gt;Irurzun-Lopez&lt;/Author&gt;&lt;Year&gt;2021&lt;/Year&gt;&lt;RecNum&gt;211&lt;/RecNum&gt;&lt;DisplayText&gt;(Irurzun-Lopez et al 2021)&lt;/DisplayText&gt;&lt;record&gt;&lt;rec-number&gt;211&lt;/rec-number&gt;&lt;foreign-keys&gt;&lt;key app="EN" db-id="aaepvppzs5wtfse95vsp2wahsrtvva2vvdet" timestamp="1663798852"&gt;211&lt;/key&gt;&lt;/foreign-keys&gt;&lt;ref-type name="Journal Article"&gt;17&lt;/ref-type&gt;&lt;contributors&gt;&lt;authors&gt;&lt;author&gt;Irurzun-Lopez, Maite&lt;/author&gt;&lt;author&gt;Jeffreys, Mona&lt;/author&gt;&lt;author&gt;Cumming, Jacqueline&lt;/author&gt;&lt;/authors&gt;&lt;/contributors&gt;&lt;titles&gt;&lt;title&gt;The enrolment gap: who is not enrolling with primary health organizations in Aotearoa New Zealand and what are the implications? An exploration of 2015–2019 administrative data&lt;/title&gt;&lt;secondary-title&gt;International Journal for Equity in Health&lt;/secondary-title&gt;&lt;/titles&gt;&lt;periodical&gt;&lt;full-title&gt;International Journal for Equity in Health&lt;/full-title&gt;&lt;/periodical&gt;&lt;pages&gt;93&lt;/pages&gt;&lt;volume&gt;20&lt;/volume&gt;&lt;dates&gt;&lt;year&gt;2021&lt;/year&gt;&lt;/dates&gt;&lt;urls&gt;&lt;related-urls&gt;&lt;url&gt;https://equityhealthj.biomedcentral.com/articles/10.1186/s12939-021-01423-4&lt;/url&gt;&lt;/related-urls&gt;&lt;/urls&gt;&lt;/record&gt;&lt;/Cite&gt;&lt;/EndNote&gt;</w:instrText>
      </w:r>
      <w:r w:rsidRPr="0007414B">
        <w:rPr>
          <w:spacing w:val="-2"/>
        </w:rPr>
        <w:fldChar w:fldCharType="separate"/>
      </w:r>
      <w:r w:rsidRPr="0007414B">
        <w:rPr>
          <w:noProof/>
          <w:spacing w:val="-2"/>
        </w:rPr>
        <w:t>(Irurzun-Lopez et al 2021)</w:t>
      </w:r>
      <w:r w:rsidRPr="0007414B">
        <w:rPr>
          <w:spacing w:val="-2"/>
        </w:rPr>
        <w:fldChar w:fldCharType="end"/>
      </w:r>
      <w:r w:rsidRPr="0007414B">
        <w:rPr>
          <w:spacing w:val="-2"/>
        </w:rPr>
        <w:t>. Using the census population projections as the denominator for the Aotearoa New Zealand population, we estimate rates of PHO enrolment as follows.</w:t>
      </w:r>
    </w:p>
    <w:p w14:paraId="2F00EAC1" w14:textId="77777777" w:rsidR="00395CB9" w:rsidRPr="0007414B" w:rsidRDefault="00395CB9" w:rsidP="00B72E41">
      <w:pPr>
        <w:pStyle w:val="Bullet"/>
        <w:rPr>
          <w:lang w:eastAsia="en-NZ"/>
        </w:rPr>
      </w:pPr>
      <w:r w:rsidRPr="0007414B">
        <w:rPr>
          <w:lang w:eastAsia="en-NZ"/>
        </w:rPr>
        <w:t>People living in the least deprived areas had higher rates of enrolment (close to 100%), compared with people living in the most deprived areas (84.4%).</w:t>
      </w:r>
    </w:p>
    <w:p w14:paraId="513AAC4E" w14:textId="77777777" w:rsidR="00395CB9" w:rsidRPr="0007414B" w:rsidRDefault="00395CB9" w:rsidP="00B72E41">
      <w:pPr>
        <w:pStyle w:val="Bullet"/>
        <w:rPr>
          <w:lang w:eastAsia="en-NZ"/>
        </w:rPr>
      </w:pPr>
      <w:r w:rsidRPr="0007414B">
        <w:rPr>
          <w:lang w:eastAsia="en-NZ"/>
        </w:rPr>
        <w:t>The European/other ethnic group (99.0%) had higher levels of enrolment than Māori (82.9%), Pacific peoples (93.8%) and Asian peoples (90.1%).</w:t>
      </w:r>
    </w:p>
    <w:p w14:paraId="52F0FD08" w14:textId="77777777" w:rsidR="00395CB9" w:rsidRPr="0007414B" w:rsidRDefault="00395CB9" w:rsidP="00B72E41">
      <w:pPr>
        <w:pStyle w:val="Bullet"/>
        <w:rPr>
          <w:lang w:eastAsia="en-NZ"/>
        </w:rPr>
      </w:pPr>
      <w:r w:rsidRPr="0007414B">
        <w:rPr>
          <w:lang w:eastAsia="en-NZ"/>
        </w:rPr>
        <w:t>Females (95.9%) had higher levels of enrolment than males (91.4%).</w:t>
      </w:r>
    </w:p>
    <w:p w14:paraId="02280DCD" w14:textId="77777777" w:rsidR="00395CB9" w:rsidRPr="0007414B" w:rsidRDefault="00395CB9" w:rsidP="00B72E41">
      <w:pPr>
        <w:pStyle w:val="Bullet"/>
        <w:rPr>
          <w:lang w:eastAsia="en-NZ"/>
        </w:rPr>
      </w:pPr>
      <w:r w:rsidRPr="0007414B">
        <w:rPr>
          <w:lang w:eastAsia="en-NZ"/>
        </w:rPr>
        <w:t>Enrolment rates</w:t>
      </w:r>
      <w:r w:rsidRPr="0007414B" w:rsidDel="00856973">
        <w:rPr>
          <w:lang w:eastAsia="en-NZ"/>
        </w:rPr>
        <w:t xml:space="preserve"> </w:t>
      </w:r>
      <w:r w:rsidRPr="0007414B">
        <w:rPr>
          <w:lang w:eastAsia="en-NZ"/>
        </w:rPr>
        <w:t>were lower for those aged 20–29 years (around 88%) than other age groups.</w:t>
      </w:r>
    </w:p>
    <w:p w14:paraId="55A6288B" w14:textId="77777777" w:rsidR="00395CB9" w:rsidRPr="0007414B" w:rsidRDefault="00395CB9" w:rsidP="00395CB9"/>
    <w:p w14:paraId="626E49BE" w14:textId="77777777" w:rsidR="00395CB9" w:rsidRPr="0007414B" w:rsidRDefault="00395CB9" w:rsidP="00395CB9">
      <w:pPr>
        <w:tabs>
          <w:tab w:val="left" w:pos="6379"/>
        </w:tabs>
      </w:pPr>
      <w:r w:rsidRPr="0007414B">
        <w:rPr>
          <w:lang w:eastAsia="en-NZ"/>
        </w:rPr>
        <w:t xml:space="preserve">Manatū Hauora does not currently have PHO enrolment figures for disabled people. However, in the Health Survey, for the survey year of 2021/22 93.9% of disabled people reported having a usual medical centre </w:t>
      </w:r>
      <w:r w:rsidRPr="0007414B">
        <w:rPr>
          <w:lang w:eastAsia="en-NZ"/>
        </w:rPr>
        <w:fldChar w:fldCharType="begin"/>
      </w:r>
      <w:r w:rsidRPr="0007414B">
        <w:rPr>
          <w:lang w:eastAsia="en-NZ"/>
        </w:rPr>
        <w:instrText xml:space="preserve"> ADDIN EN.CITE &lt;EndNote&gt;&lt;Cite&gt;&lt;Author&gt;Manatū Hauora&lt;/Author&gt;&lt;Year&gt;2023&lt;/Year&gt;&lt;RecNum&gt;33&lt;/RecNum&gt;&lt;DisplayText&gt;(Manatū Hauora 2023a)&lt;/DisplayText&gt;&lt;record&gt;&lt;rec-number&gt;33&lt;/rec-number&gt;&lt;foreign-keys&gt;&lt;key app="EN" db-id="aaepvppzs5wtfse95vsp2wahsrtvva2vvdet" timestamp="1632283821"&gt;33&lt;/key&gt;&lt;/foreign-keys&gt;&lt;ref-type name="Web Page"&gt;12&lt;/ref-type&gt;&lt;contributors&gt;&lt;authors&gt;&lt;author&gt;&lt;style face="normal" font="default" size="100%"&gt;Manat&lt;/style&gt;&lt;style face="normal" font="default" charset="238" size="100%"&gt;ū Hauora,&lt;/style&gt;&lt;/author&gt;&lt;/authors&gt;&lt;/contributors&gt;&lt;titles&gt;&lt;title&gt;Annual Data Explorer 2021/22: New Zealand Health Survey (Data file)&lt;/title&gt;&lt;/titles&gt;&lt;number&gt;28 April 2023&lt;/number&gt;&lt;dates&gt;&lt;year&gt;2023&lt;/year&gt;&lt;/dates&gt;&lt;urls&gt;&lt;related-urls&gt;&lt;url&gt;https://minhealthnz.shinyapps.io/nz-health-survey-2021-22-annual-data-explorer/&lt;/url&gt;&lt;/related-urls&gt;&lt;/urls&gt;&lt;/record&gt;&lt;/Cite&gt;&lt;/EndNote&gt;</w:instrText>
      </w:r>
      <w:r w:rsidRPr="0007414B">
        <w:rPr>
          <w:lang w:eastAsia="en-NZ"/>
        </w:rPr>
        <w:fldChar w:fldCharType="separate"/>
      </w:r>
      <w:r w:rsidRPr="0007414B">
        <w:rPr>
          <w:lang w:eastAsia="en-NZ"/>
        </w:rPr>
        <w:t>(Manatū Hauora 2023a)</w:t>
      </w:r>
      <w:r w:rsidRPr="0007414B">
        <w:rPr>
          <w:lang w:eastAsia="en-NZ"/>
        </w:rPr>
        <w:fldChar w:fldCharType="end"/>
      </w:r>
      <w:r w:rsidRPr="0007414B">
        <w:rPr>
          <w:lang w:eastAsia="en-NZ"/>
        </w:rPr>
        <w:t>.</w:t>
      </w:r>
    </w:p>
    <w:p w14:paraId="49544E60" w14:textId="77777777" w:rsidR="00395CB9" w:rsidRPr="0007414B" w:rsidRDefault="00395CB9" w:rsidP="00395CB9">
      <w:pPr>
        <w:pStyle w:val="Heading4"/>
      </w:pPr>
      <w:r w:rsidRPr="0007414B">
        <w:lastRenderedPageBreak/>
        <w:t>Engagement with enrolled general practice</w:t>
      </w:r>
    </w:p>
    <w:p w14:paraId="424F9C3B" w14:textId="77777777" w:rsidR="00395CB9" w:rsidRPr="0007414B" w:rsidRDefault="00395CB9" w:rsidP="00395CB9">
      <w:pPr>
        <w:rPr>
          <w:rFonts w:cs="Segoe UI"/>
          <w:i/>
        </w:rPr>
      </w:pPr>
      <w:r w:rsidRPr="0007414B">
        <w:rPr>
          <w:rFonts w:cs="Segoe UI"/>
          <w:shd w:val="clear" w:color="auto" w:fill="FFFFFF"/>
        </w:rPr>
        <w:t xml:space="preserve">Engagement with enrolled general practice is defined as interactions between a patient and the general practice they are enrolled with. These interactions include doctor and nurse consultations (face-to-face and remote), follow-up communications, prescription requests and immunisations </w:t>
      </w:r>
      <w:r w:rsidRPr="0007414B">
        <w:rPr>
          <w:rFonts w:cs="Segoe UI"/>
          <w:shd w:val="clear" w:color="auto" w:fill="FFFFFF"/>
        </w:rPr>
        <w:fldChar w:fldCharType="begin"/>
      </w:r>
      <w:r>
        <w:rPr>
          <w:rFonts w:cs="Segoe UI"/>
          <w:shd w:val="clear" w:color="auto" w:fill="FFFFFF"/>
        </w:rPr>
        <w:instrText xml:space="preserve"> ADDIN EN.CITE &lt;EndNote&gt;&lt;Cite&gt;&lt;Author&gt;Te Whatu Ora&lt;/Author&gt;&lt;Year&gt;2023&lt;/Year&gt;&lt;RecNum&gt;380&lt;/RecNum&gt;&lt;DisplayText&gt;(Te Whatu Ora 2023f)&lt;/DisplayText&gt;&lt;record&gt;&lt;rec-number&gt;380&lt;/rec-number&gt;&lt;foreign-keys&gt;&lt;key app="EN" db-id="aaepvppzs5wtfse95vsp2wahsrtvva2vvdet" timestamp="1684386707"&gt;380&lt;/key&gt;&lt;/foreign-keys&gt;&lt;ref-type name="Web Page"&gt;12&lt;/ref-type&gt;&lt;contributors&gt;&lt;authors&gt;&lt;author&gt;Te Whatu Ora,&lt;/author&gt;&lt;/authors&gt;&lt;/contributors&gt;&lt;titles&gt;&lt;title&gt;Enrolment with a general practice and primary health organisation&lt;/title&gt;&lt;/titles&gt;&lt;number&gt;18 May 2023&lt;/number&gt;&lt;dates&gt;&lt;year&gt;2023&lt;/year&gt;&lt;/dates&gt;&lt;urls&gt;&lt;related-urls&gt;&lt;url&gt;www.tewhatuora.govt.nz/our-health-system/primary-care-sector/primary-health-organisations/enrolment-with-a-general-practice-and-primary-health-organisation/&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(Te Whatu Ora 2023f)</w:t>
      </w:r>
      <w:r w:rsidRPr="0007414B">
        <w:rPr>
          <w:rFonts w:cs="Segoe UI"/>
          <w:shd w:val="clear" w:color="auto" w:fill="FFFFFF"/>
        </w:rPr>
        <w:fldChar w:fldCharType="end"/>
      </w:r>
      <w:r w:rsidRPr="0007414B">
        <w:rPr>
          <w:rFonts w:cs="Segoe UI"/>
          <w:shd w:val="clear" w:color="auto" w:fill="FFFFFF"/>
        </w:rPr>
        <w:t>.</w:t>
      </w:r>
    </w:p>
    <w:p w14:paraId="032957BB" w14:textId="77777777" w:rsidR="00395CB9" w:rsidRPr="0007414B" w:rsidRDefault="00395CB9" w:rsidP="00395CB9">
      <w:pPr>
        <w:rPr>
          <w:rFonts w:cs="Segoe UI"/>
        </w:rPr>
      </w:pPr>
    </w:p>
    <w:p w14:paraId="641761AB" w14:textId="77777777" w:rsidR="00395CB9" w:rsidRPr="0007414B" w:rsidRDefault="00395CB9" w:rsidP="00395CB9">
      <w:pPr>
        <w:rPr>
          <w:rFonts w:cs="Segoe UI"/>
          <w:sz w:val="22"/>
          <w:szCs w:val="22"/>
          <w:lang w:eastAsia="en-US"/>
        </w:rPr>
      </w:pPr>
      <w:r w:rsidRPr="0007414B">
        <w:rPr>
          <w:rFonts w:cs="Segoe UI"/>
        </w:rPr>
        <w:t>Of the people who were enrolled with a PHO on 31 December 2022, 83.1% engaged with their usual general practice during 2022. Another 8.4% last engaged with their general practice in 2021 and 3.5% last engaged with their general practice in 202</w:t>
      </w:r>
      <w:r>
        <w:rPr>
          <w:rFonts w:cs="Segoe UI"/>
        </w:rPr>
        <w:t>0</w:t>
      </w:r>
      <w:r w:rsidRPr="0007414B">
        <w:rPr>
          <w:rFonts w:cs="Segoe UI"/>
        </w:rPr>
        <w:t>. The remaining 5.0% last engaged at an unknown date.</w:t>
      </w:r>
      <w:r w:rsidRPr="0007414B">
        <w:rPr>
          <w:rFonts w:cs="Segoe UI"/>
          <w:sz w:val="22"/>
          <w:szCs w:val="22"/>
          <w:lang w:eastAsia="en-US"/>
        </w:rPr>
        <w:t xml:space="preserve"> </w:t>
      </w:r>
    </w:p>
    <w:p w14:paraId="700ADAED" w14:textId="77777777" w:rsidR="00395CB9" w:rsidRPr="0007414B" w:rsidRDefault="00395CB9" w:rsidP="00395CB9">
      <w:pPr>
        <w:rPr>
          <w:lang w:eastAsia="en-US"/>
        </w:rPr>
      </w:pPr>
    </w:p>
    <w:p w14:paraId="6B7DA5F7" w14:textId="77777777" w:rsidR="00395CB9" w:rsidRPr="0007414B" w:rsidRDefault="00395CB9" w:rsidP="00395CB9">
      <w:r w:rsidRPr="0007414B">
        <w:t>Within the</w:t>
      </w:r>
      <w:r w:rsidRPr="0007414B" w:rsidDel="008D6935">
        <w:t xml:space="preserve"> e</w:t>
      </w:r>
      <w:r w:rsidRPr="0007414B">
        <w:t>nrolled population, population groups differed in their</w:t>
      </w:r>
      <w:r w:rsidRPr="0007414B" w:rsidDel="008D6935">
        <w:t xml:space="preserve"> </w:t>
      </w:r>
      <w:r w:rsidRPr="0007414B">
        <w:t>level of engagement with their usual general practice during 2022.</w:t>
      </w:r>
    </w:p>
    <w:p w14:paraId="4E54D5E9" w14:textId="77777777" w:rsidR="00395CB9" w:rsidRPr="0007414B" w:rsidRDefault="00395CB9" w:rsidP="00B72E41">
      <w:pPr>
        <w:pStyle w:val="Bullet"/>
      </w:pPr>
      <w:r w:rsidRPr="0007414B">
        <w:t>People living in the least deprived areas had higher levels of engagement (84.6%) than people living in the most deprived areas (81.0%).</w:t>
      </w:r>
    </w:p>
    <w:p w14:paraId="279F3C1D" w14:textId="77777777" w:rsidR="00395CB9" w:rsidRPr="0007414B" w:rsidRDefault="00395CB9" w:rsidP="00B72E41">
      <w:pPr>
        <w:pStyle w:val="Bullet"/>
      </w:pPr>
      <w:r w:rsidRPr="0007414B">
        <w:t>The European</w:t>
      </w:r>
      <w:r>
        <w:t>/other</w:t>
      </w:r>
      <w:r w:rsidRPr="0007414B">
        <w:t xml:space="preserve"> ethnic group had higher levels of engagement (85.9%) than Māori (79.5%), Pacific peoples (79.0%) and Asian peoples (78.3%).</w:t>
      </w:r>
    </w:p>
    <w:p w14:paraId="22D1F0AA" w14:textId="77777777" w:rsidR="00395CB9" w:rsidRPr="0007414B" w:rsidRDefault="00395CB9" w:rsidP="00B72E41">
      <w:pPr>
        <w:pStyle w:val="Bullet"/>
      </w:pPr>
      <w:r w:rsidRPr="0007414B">
        <w:t>Females had higher levels of engagement (85.9%) than males (80.1%).</w:t>
      </w:r>
    </w:p>
    <w:p w14:paraId="6B0A7236" w14:textId="77777777" w:rsidR="00395CB9" w:rsidRPr="0007414B" w:rsidRDefault="00395CB9" w:rsidP="00B72E41">
      <w:pPr>
        <w:pStyle w:val="Bullet"/>
      </w:pPr>
      <w:r w:rsidRPr="0007414B">
        <w:t>Engagement</w:t>
      </w:r>
      <w:r w:rsidRPr="0007414B" w:rsidDel="00D917CF">
        <w:t xml:space="preserve"> </w:t>
      </w:r>
      <w:r w:rsidRPr="0007414B">
        <w:t>rates were highest in the older age groups. They were above 90% for people aged 65 years and over.</w:t>
      </w:r>
    </w:p>
    <w:p w14:paraId="6094DE84" w14:textId="77777777" w:rsidR="00395CB9" w:rsidRPr="0007414B" w:rsidRDefault="00395CB9" w:rsidP="00395CB9">
      <w:pPr>
        <w:pStyle w:val="Heading4"/>
      </w:pPr>
      <w:r w:rsidRPr="0007414B">
        <w:t>Population not enrolled with a PHO</w:t>
      </w:r>
    </w:p>
    <w:p w14:paraId="4A29664A" w14:textId="67C34488" w:rsidR="00395CB9" w:rsidRPr="0007414B" w:rsidRDefault="00395CB9" w:rsidP="00395CB9">
      <w:pPr>
        <w:rPr>
          <w:rFonts w:cs="Segoe UI"/>
        </w:rPr>
      </w:pPr>
      <w:r w:rsidRPr="0007414B">
        <w:rPr>
          <w:rFonts w:cs="Segoe UI"/>
        </w:rPr>
        <w:t>In 2022, 6.2% of health users</w:t>
      </w:r>
      <w:r w:rsidRPr="0007414B">
        <w:rPr>
          <w:rStyle w:val="FootnoteReference"/>
          <w:rFonts w:cs="Segoe UI"/>
        </w:rPr>
        <w:footnoteReference w:id="18"/>
      </w:r>
      <w:r w:rsidRPr="0007414B">
        <w:rPr>
          <w:rFonts w:cs="Segoe UI"/>
        </w:rPr>
        <w:t xml:space="preserve"> were not enrolled with a PHO. </w:t>
      </w:r>
      <w:r w:rsidRPr="0007414B">
        <w:rPr>
          <w:rFonts w:cs="Segoe UI"/>
        </w:rPr>
        <w:fldChar w:fldCharType="begin"/>
      </w:r>
      <w:r w:rsidRPr="0007414B">
        <w:rPr>
          <w:rFonts w:cs="Segoe UI"/>
        </w:rPr>
        <w:instrText xml:space="preserve"> REF _Ref134425184 \h  \* MERGEFORMAT </w:instrText>
      </w:r>
      <w:r w:rsidRPr="0007414B">
        <w:rPr>
          <w:rFonts w:cs="Segoe UI"/>
        </w:rPr>
      </w:r>
      <w:r w:rsidRPr="0007414B">
        <w:rPr>
          <w:rFonts w:cs="Segoe UI"/>
        </w:rPr>
        <w:fldChar w:fldCharType="separate"/>
      </w:r>
      <w:r w:rsidR="00BE208D" w:rsidRPr="00BE208D">
        <w:rPr>
          <w:rFonts w:cs="Segoe UI"/>
        </w:rPr>
        <w:t>Figure 27</w:t>
      </w:r>
      <w:r w:rsidRPr="0007414B">
        <w:rPr>
          <w:rFonts w:cs="Segoe UI"/>
        </w:rPr>
        <w:fldChar w:fldCharType="end"/>
      </w:r>
      <w:r w:rsidRPr="0007414B">
        <w:rPr>
          <w:rFonts w:cs="Segoe UI"/>
        </w:rPr>
        <w:t xml:space="preserve"> shows the proportion of the population not enrolled in 2022 by age and ethnic group. The rates were highest among Asian peoples: </w:t>
      </w:r>
      <w:r w:rsidRPr="0007414B" w:rsidDel="00D917CF">
        <w:rPr>
          <w:rFonts w:cs="Segoe UI"/>
        </w:rPr>
        <w:t>o</w:t>
      </w:r>
      <w:r w:rsidRPr="0007414B">
        <w:rPr>
          <w:rFonts w:cs="Segoe UI"/>
        </w:rPr>
        <w:t>f the total Asian population in Aotearoa New Zealand, 29.6% aged 20–24 years and 23.1% aged 25–29 years were not enrolled with a PHO. The next highest proportion was among Pacific peoples:</w:t>
      </w:r>
      <w:r w:rsidRPr="0007414B" w:rsidDel="00D917CF">
        <w:rPr>
          <w:rFonts w:cs="Segoe UI"/>
        </w:rPr>
        <w:t xml:space="preserve"> </w:t>
      </w:r>
      <w:r w:rsidRPr="0007414B">
        <w:rPr>
          <w:rFonts w:cs="Segoe UI"/>
        </w:rPr>
        <w:t>16.0% of Pacific peoples aged 25–29 years were not enrolled with a PHO.</w:t>
      </w:r>
      <w:r w:rsidRPr="0007414B">
        <w:rPr>
          <w:rFonts w:cs="Segoe UI"/>
          <w:i/>
        </w:rPr>
        <w:t xml:space="preserve"> </w:t>
      </w:r>
    </w:p>
    <w:p w14:paraId="3145F3C9" w14:textId="77777777" w:rsidR="00395CB9" w:rsidRPr="0007414B" w:rsidRDefault="00395CB9" w:rsidP="00395CB9">
      <w:pPr>
        <w:rPr>
          <w:rFonts w:cs="Segoe UI"/>
        </w:rPr>
      </w:pPr>
    </w:p>
    <w:p w14:paraId="63A623C2" w14:textId="75BEF331" w:rsidR="00395CB9" w:rsidRPr="0007414B" w:rsidRDefault="00395CB9" w:rsidP="00B72E41">
      <w:pPr>
        <w:pStyle w:val="Figure"/>
      </w:pPr>
      <w:bookmarkStart w:id="139" w:name="_Ref134425184"/>
      <w:bookmarkStart w:id="140" w:name="_Toc138326969"/>
      <w:bookmarkStart w:id="141" w:name="_Toc138409950"/>
      <w:r>
        <w:lastRenderedPageBreak/>
        <w:t xml:space="preserve">Figure </w:t>
      </w:r>
      <w:fldSimple w:instr=" SEQ Figure \* ARABIC ">
        <w:r w:rsidR="00BE208D">
          <w:rPr>
            <w:noProof/>
          </w:rPr>
          <w:t>27</w:t>
        </w:r>
      </w:fldSimple>
      <w:bookmarkEnd w:id="139"/>
      <w:r>
        <w:t>: Percentage of Aotearoa New Zealand population not enrolled in a PHO, by age group and ethnic group, 2022</w:t>
      </w:r>
      <w:bookmarkEnd w:id="140"/>
      <w:bookmarkEnd w:id="141"/>
    </w:p>
    <w:p w14:paraId="77B6BD16" w14:textId="77777777" w:rsidR="00395CB9" w:rsidRPr="0007414B" w:rsidRDefault="00395CB9" w:rsidP="00B72E41">
      <w:pPr>
        <w:rPr>
          <w:rFonts w:cs="Segoe UI"/>
        </w:rPr>
      </w:pPr>
      <w:r w:rsidRPr="0007414B">
        <w:rPr>
          <w:noProof/>
        </w:rPr>
        <w:drawing>
          <wp:inline distT="0" distB="0" distL="0" distR="0" wp14:anchorId="61CC11D9" wp14:editId="240B4CDC">
            <wp:extent cx="5127477" cy="5127477"/>
            <wp:effectExtent l="0" t="0" r="0" b="0"/>
            <wp:docPr id="1823296344" name="Picture 1823296344" descr="A series of four bar charts showing the percentage of the population who are not enrolled with a PHO, by age group, for 2022. The four charts each show a different ethnic group. On each of the charts a dashed line shows the proportion of New Zealanders who are not enrolled (6.2%).  In general, the Asian ethnic group has the highest proportion not enrolled with a PHO, followed by Pacific peoples, Māori, and then European/other. Across all ethnic groups, the highest proportion not enrolled occurs in either the 20–24 or 25–29-yea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4" name="Picture 1823296344" descr="A series of four bar charts showing the percentage of the population who are not enrolled with a PHO, by age group, for 2022. The four charts each show a different ethnic group. On each of the charts a dashed line shows the proportion of New Zealanders who are not enrolled (6.2%).  In general, the Asian ethnic group has the highest proportion not enrolled with a PHO, followed by Pacific peoples, Māori, and then European/other. Across all ethnic groups, the highest proportion not enrolled occurs in either the 20–24 or 25–29-year age groups."/>
                    <pic:cNvPicPr/>
                  </pic:nvPicPr>
                  <pic:blipFill>
                    <a:blip r:embed="rId89"/>
                    <a:stretch>
                      <a:fillRect/>
                    </a:stretch>
                  </pic:blipFill>
                  <pic:spPr>
                    <a:xfrm>
                      <a:off x="0" y="0"/>
                      <a:ext cx="5132259" cy="5132259"/>
                    </a:xfrm>
                    <a:prstGeom prst="rect">
                      <a:avLst/>
                    </a:prstGeom>
                  </pic:spPr>
                </pic:pic>
              </a:graphicData>
            </a:graphic>
          </wp:inline>
        </w:drawing>
      </w:r>
    </w:p>
    <w:p w14:paraId="3880FF9C" w14:textId="77777777" w:rsidR="00395CB9" w:rsidRPr="0007414B" w:rsidRDefault="00395CB9" w:rsidP="00B72E41">
      <w:pPr>
        <w:pStyle w:val="Source"/>
      </w:pPr>
      <w:r w:rsidRPr="0007414B">
        <w:t>Source: Manatū Hauora unpublished data (2023)</w:t>
      </w:r>
    </w:p>
    <w:p w14:paraId="47DADF02" w14:textId="77777777" w:rsidR="00395CB9" w:rsidRPr="0007414B" w:rsidRDefault="00395CB9" w:rsidP="00B72E41">
      <w:pPr>
        <w:rPr>
          <w:rFonts w:cs="Segoe UI"/>
        </w:rPr>
      </w:pPr>
    </w:p>
    <w:p w14:paraId="32AA39AD" w14:textId="3C48DF67" w:rsidR="00395CB9" w:rsidRPr="0007414B" w:rsidRDefault="00395CB9" w:rsidP="00B72E41">
      <w:pPr>
        <w:rPr>
          <w:rFonts w:cs="Segoe UI"/>
        </w:rPr>
      </w:pPr>
      <w:r w:rsidRPr="0007414B">
        <w:rPr>
          <w:rFonts w:cs="Segoe UI"/>
        </w:rPr>
        <w:fldChar w:fldCharType="begin"/>
      </w:r>
      <w:r w:rsidRPr="0007414B">
        <w:rPr>
          <w:rFonts w:cs="Segoe UI"/>
        </w:rPr>
        <w:instrText xml:space="preserve"> REF _Ref134800545 \h  \* MERGEFORMAT </w:instrText>
      </w:r>
      <w:r w:rsidRPr="0007414B">
        <w:rPr>
          <w:rFonts w:cs="Segoe UI"/>
        </w:rPr>
      </w:r>
      <w:r w:rsidRPr="0007414B">
        <w:rPr>
          <w:rFonts w:cs="Segoe UI"/>
        </w:rPr>
        <w:fldChar w:fldCharType="separate"/>
      </w:r>
      <w:r w:rsidR="00BE208D" w:rsidRPr="00BE208D">
        <w:rPr>
          <w:rFonts w:cs="Segoe UI"/>
        </w:rPr>
        <w:t>Figure 28</w:t>
      </w:r>
      <w:r w:rsidRPr="0007414B">
        <w:rPr>
          <w:rFonts w:cs="Segoe UI"/>
        </w:rPr>
        <w:fldChar w:fldCharType="end"/>
      </w:r>
      <w:r w:rsidRPr="0007414B">
        <w:rPr>
          <w:rFonts w:cs="Segoe UI"/>
        </w:rPr>
        <w:t xml:space="preserve"> shows the proportion of the population not enrolled with a PHO by age and gender in 2022. The</w:t>
      </w:r>
      <w:r w:rsidRPr="0007414B" w:rsidDel="004E4AF7">
        <w:rPr>
          <w:rFonts w:cs="Segoe UI"/>
        </w:rPr>
        <w:t xml:space="preserve"> </w:t>
      </w:r>
      <w:r w:rsidRPr="0007414B">
        <w:rPr>
          <w:rFonts w:cs="Segoe UI"/>
        </w:rPr>
        <w:t>proportion of younger men who were not enrolled with a PHO was higher than for other groups.</w:t>
      </w:r>
    </w:p>
    <w:p w14:paraId="4773758B" w14:textId="77777777" w:rsidR="00395CB9" w:rsidRPr="0007414B" w:rsidRDefault="00395CB9" w:rsidP="00B72E41">
      <w:pPr>
        <w:rPr>
          <w:rFonts w:cs="Segoe UI"/>
        </w:rPr>
      </w:pPr>
    </w:p>
    <w:p w14:paraId="33712B37" w14:textId="2EF6A955" w:rsidR="00395CB9" w:rsidRPr="0007414B" w:rsidRDefault="00395CB9" w:rsidP="00B72E41">
      <w:pPr>
        <w:pStyle w:val="Figure"/>
      </w:pPr>
      <w:bookmarkStart w:id="142" w:name="_Ref134800545"/>
      <w:bookmarkStart w:id="143" w:name="_Toc138326970"/>
      <w:bookmarkStart w:id="144" w:name="_Toc138409951"/>
      <w:r>
        <w:lastRenderedPageBreak/>
        <w:t xml:space="preserve">Figure </w:t>
      </w:r>
      <w:fldSimple w:instr=" SEQ Figure \* ARABIC ">
        <w:r w:rsidR="00BE208D">
          <w:rPr>
            <w:noProof/>
          </w:rPr>
          <w:t>28</w:t>
        </w:r>
      </w:fldSimple>
      <w:bookmarkEnd w:id="142"/>
      <w:r>
        <w:t>: Percentage of Aotearoa New Zealand population not enrolled in a PHO, by age group and gender, 2022</w:t>
      </w:r>
      <w:bookmarkEnd w:id="143"/>
      <w:bookmarkEnd w:id="144"/>
    </w:p>
    <w:p w14:paraId="1793AF08" w14:textId="77777777" w:rsidR="00395CB9" w:rsidRPr="0007414B" w:rsidRDefault="00395CB9" w:rsidP="00B72E41">
      <w:pPr>
        <w:rPr>
          <w:rFonts w:cs="Segoe UI"/>
        </w:rPr>
      </w:pPr>
      <w:r w:rsidRPr="0007414B">
        <w:rPr>
          <w:noProof/>
        </w:rPr>
        <w:drawing>
          <wp:inline distT="0" distB="0" distL="0" distR="0" wp14:anchorId="577BB5BC" wp14:editId="27578517">
            <wp:extent cx="5118930" cy="2558497"/>
            <wp:effectExtent l="0" t="0" r="5715" b="0"/>
            <wp:docPr id="1823296345" name="Picture 1823296345" descr="A pair of bar charts showing the percentage of the population who are not enrolled with a PHO, by age, for 2022. The charts each show a gender; one female and the other male. On both charts, a dashed line shows the proportion of New Zealanders who are not enrolled (6.2%). In general, males had higher not enrolled compared to females. For both groups unenrolment peaked in the 25–29-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5" name="Picture 1823296345" descr="A pair of bar charts showing the percentage of the population who are not enrolled with a PHO, by age, for 2022. The charts each show a gender; one female and the other male. On both charts, a dashed line shows the proportion of New Zealanders who are not enrolled (6.2%). In general, males had higher not enrolled compared to females. For both groups unenrolment peaked in the 25–29-year age group."/>
                    <pic:cNvPicPr/>
                  </pic:nvPicPr>
                  <pic:blipFill>
                    <a:blip r:embed="rId90"/>
                    <a:stretch>
                      <a:fillRect/>
                    </a:stretch>
                  </pic:blipFill>
                  <pic:spPr>
                    <a:xfrm>
                      <a:off x="0" y="0"/>
                      <a:ext cx="5129823" cy="2563942"/>
                    </a:xfrm>
                    <a:prstGeom prst="rect">
                      <a:avLst/>
                    </a:prstGeom>
                  </pic:spPr>
                </pic:pic>
              </a:graphicData>
            </a:graphic>
          </wp:inline>
        </w:drawing>
      </w:r>
    </w:p>
    <w:p w14:paraId="17AE756A" w14:textId="77777777" w:rsidR="00395CB9" w:rsidRPr="00B72E41" w:rsidRDefault="00395CB9" w:rsidP="00B72E41">
      <w:pPr>
        <w:pStyle w:val="Source"/>
      </w:pPr>
      <w:r w:rsidRPr="00B72E41">
        <w:t>Source: Manatū Hauora unpublished data (2023)</w:t>
      </w:r>
    </w:p>
    <w:p w14:paraId="62F9489D" w14:textId="77777777" w:rsidR="00395CB9" w:rsidRPr="0007414B" w:rsidRDefault="00395CB9" w:rsidP="00395CB9">
      <w:pPr>
        <w:pStyle w:val="Heading4"/>
      </w:pPr>
      <w:r w:rsidRPr="0007414B">
        <w:t>Barriers to accessing primary health care</w:t>
      </w:r>
    </w:p>
    <w:p w14:paraId="55C89B72" w14:textId="23493B69" w:rsidR="00860CE8" w:rsidRDefault="00395CB9" w:rsidP="00860CE8">
      <w:pPr>
        <w:rPr>
          <w:rFonts w:cs="Segoe UI"/>
          <w:lang w:eastAsia="en-NZ"/>
        </w:rPr>
      </w:pPr>
      <w:r w:rsidRPr="00AC458B">
        <w:rPr>
          <w:rFonts w:cs="Segoe UI"/>
          <w:lang w:eastAsia="en-NZ"/>
        </w:rPr>
        <w:t>In the Health Survey, an adult (aged 15 years and over) is asked whether they experience any barriers to accessing primary health care. Barriers to getting an appointment in the past 12 months can be due to wait time, cost, or lack of transport.</w:t>
      </w:r>
      <w:r w:rsidRPr="00AC458B" w:rsidDel="00116142">
        <w:rPr>
          <w:rFonts w:cs="Segoe UI"/>
          <w:lang w:eastAsia="en-NZ"/>
        </w:rPr>
        <w:t xml:space="preserve"> </w:t>
      </w:r>
      <w:r w:rsidRPr="00AC458B">
        <w:rPr>
          <w:rFonts w:cs="Segoe UI"/>
          <w:lang w:eastAsia="en-NZ"/>
        </w:rPr>
        <w:t>The following tables focus on the different barriers that adults faced in accessing health care.</w:t>
      </w:r>
      <w:r w:rsidR="00860CE8">
        <w:rPr>
          <w:rFonts w:cs="Segoe UI"/>
          <w:lang w:eastAsia="en-NZ"/>
        </w:rPr>
        <w:t xml:space="preserve"> </w:t>
      </w:r>
    </w:p>
    <w:p w14:paraId="4B78E7D6" w14:textId="77777777" w:rsidR="00860CE8" w:rsidRPr="00860CE8" w:rsidRDefault="00860CE8" w:rsidP="00860CE8">
      <w:pPr>
        <w:rPr>
          <w:rFonts w:cs="Segoe UI"/>
          <w:lang w:eastAsia="en-NZ"/>
        </w:rPr>
      </w:pPr>
    </w:p>
    <w:p w14:paraId="0C00472C" w14:textId="77777777" w:rsidR="00860CE8" w:rsidRPr="00860CE8" w:rsidRDefault="00860CE8" w:rsidP="00860CE8">
      <w:pPr>
        <w:rPr>
          <w:rFonts w:cs="Segoe UI"/>
          <w:lang w:eastAsia="en-NZ"/>
        </w:rPr>
      </w:pPr>
      <w:r w:rsidRPr="00860CE8">
        <w:rPr>
          <w:rFonts w:cs="Segoe UI"/>
          <w:lang w:eastAsia="en-NZ"/>
        </w:rPr>
        <w:t>Table 7 shows cost-related barriers that adults in different population groups faced in accessing primary health care (in the last 12 months) for the 3-year pooled period ending 2021/22. These barriers were:</w:t>
      </w:r>
    </w:p>
    <w:p w14:paraId="01B725E6" w14:textId="038C9B45" w:rsidR="00860CE8" w:rsidRPr="00860CE8" w:rsidRDefault="00860CE8" w:rsidP="00860CE8">
      <w:pPr>
        <w:pStyle w:val="Bullet"/>
        <w:rPr>
          <w:lang w:eastAsia="en-NZ"/>
        </w:rPr>
      </w:pPr>
      <w:r w:rsidRPr="00860CE8">
        <w:rPr>
          <w:lang w:eastAsia="en-NZ"/>
        </w:rPr>
        <w:t>unmet need for GP services due to cost (where someone had a medical problem but did not visit or talk to a GP because of cost)</w:t>
      </w:r>
    </w:p>
    <w:p w14:paraId="6A35A3E5" w14:textId="1A3B81E5" w:rsidR="00860CE8" w:rsidRPr="00860CE8" w:rsidRDefault="00860CE8" w:rsidP="00860CE8">
      <w:pPr>
        <w:pStyle w:val="Bullet"/>
        <w:rPr>
          <w:lang w:eastAsia="en-NZ"/>
        </w:rPr>
      </w:pPr>
      <w:r w:rsidRPr="00860CE8">
        <w:rPr>
          <w:lang w:eastAsia="en-NZ"/>
        </w:rPr>
        <w:t>unfilled prescription due to cost (where someone had received a prescription for themselves but did not collect one or more prescription items because of cost)</w:t>
      </w:r>
    </w:p>
    <w:p w14:paraId="26DD8301" w14:textId="3F1548C6" w:rsidR="00860CE8" w:rsidRPr="00860CE8" w:rsidRDefault="00860CE8" w:rsidP="00860CE8">
      <w:pPr>
        <w:pStyle w:val="Bullet"/>
        <w:rPr>
          <w:lang w:eastAsia="en-NZ"/>
        </w:rPr>
      </w:pPr>
      <w:r w:rsidRPr="00860CE8">
        <w:rPr>
          <w:lang w:eastAsia="en-NZ"/>
        </w:rPr>
        <w:t>unmet need for dental care due to cost (where someone avoided going to a dental health care worker  because of cost).</w:t>
      </w:r>
    </w:p>
    <w:p w14:paraId="1AF77CAE" w14:textId="77777777" w:rsidR="00860CE8" w:rsidRPr="00860CE8" w:rsidRDefault="00860CE8" w:rsidP="00860CE8">
      <w:pPr>
        <w:rPr>
          <w:rFonts w:cs="Segoe UI"/>
          <w:lang w:eastAsia="en-NZ"/>
        </w:rPr>
      </w:pPr>
    </w:p>
    <w:p w14:paraId="10638FC5" w14:textId="2376E559" w:rsidR="00395CB9" w:rsidRDefault="00860CE8" w:rsidP="00860CE8">
      <w:pPr>
        <w:rPr>
          <w:rFonts w:cs="Segoe UI"/>
          <w:lang w:eastAsia="en-NZ"/>
        </w:rPr>
      </w:pPr>
      <w:r w:rsidRPr="00860CE8">
        <w:rPr>
          <w:rFonts w:cs="Segoe UI"/>
          <w:lang w:eastAsia="en-NZ"/>
        </w:rPr>
        <w:t>The most commonly experienced cost barrier was to accessing dental care (39.7%), especially for Māori (52.0%) and those living in the most deprived areas (49.1%).</w:t>
      </w:r>
    </w:p>
    <w:p w14:paraId="2DCD35FF" w14:textId="349D3CA6" w:rsidR="00860CE8" w:rsidRDefault="00860CE8" w:rsidP="00395CB9">
      <w:pPr>
        <w:rPr>
          <w:rFonts w:cs="Segoe UI"/>
          <w:lang w:eastAsia="en-NZ"/>
        </w:rPr>
      </w:pPr>
    </w:p>
    <w:p w14:paraId="0F2C6AF3" w14:textId="77777777" w:rsidR="00860CE8" w:rsidRPr="00AC458B" w:rsidRDefault="00860CE8" w:rsidP="00395CB9">
      <w:pPr>
        <w:rPr>
          <w:rFonts w:cs="Segoe UI"/>
          <w:lang w:eastAsia="en-NZ"/>
        </w:rPr>
      </w:pPr>
    </w:p>
    <w:p w14:paraId="568F3F26" w14:textId="77777777" w:rsidR="00395CB9" w:rsidRPr="00AC458B" w:rsidRDefault="00395CB9" w:rsidP="00395CB9">
      <w:pPr>
        <w:rPr>
          <w:rFonts w:cs="Segoe UI"/>
          <w:szCs w:val="21"/>
          <w:lang w:eastAsia="en-NZ"/>
        </w:rPr>
      </w:pPr>
    </w:p>
    <w:p w14:paraId="3472DDA6" w14:textId="77777777" w:rsidR="00B72E41" w:rsidRPr="004D5E27" w:rsidRDefault="00B72E41" w:rsidP="00B72E41">
      <w:pPr>
        <w:rPr>
          <w:lang w:eastAsia="en-NZ"/>
        </w:rPr>
      </w:pPr>
    </w:p>
    <w:p w14:paraId="706498DF" w14:textId="77777777" w:rsidR="004B1165" w:rsidRDefault="004B1165" w:rsidP="00B72E41">
      <w:pPr>
        <w:pStyle w:val="Table"/>
        <w:sectPr w:rsidR="004B1165" w:rsidSect="00025EAD">
          <w:pgSz w:w="11907" w:h="16834" w:code="9"/>
          <w:pgMar w:top="1418" w:right="1701" w:bottom="1134" w:left="1843" w:header="284" w:footer="425" w:gutter="284"/>
          <w:cols w:space="720"/>
        </w:sectPr>
      </w:pPr>
      <w:bookmarkStart w:id="145" w:name="_Ref86761443"/>
      <w:bookmarkStart w:id="146" w:name="_Ref134426229"/>
      <w:bookmarkStart w:id="147" w:name="_Toc138327002"/>
    </w:p>
    <w:p w14:paraId="20F628F2" w14:textId="1E65DAD4" w:rsidR="00395CB9" w:rsidRPr="0007414B" w:rsidRDefault="00395CB9" w:rsidP="00B72E41">
      <w:pPr>
        <w:pStyle w:val="Table"/>
      </w:pPr>
      <w:bookmarkStart w:id="148" w:name="_Toc138409983"/>
      <w:r w:rsidRPr="0007414B">
        <w:lastRenderedPageBreak/>
        <w:t>Table </w:t>
      </w:r>
      <w:r>
        <w:fldChar w:fldCharType="begin"/>
      </w:r>
      <w:r>
        <w:instrText>SEQ Table \* ARABIC</w:instrText>
      </w:r>
      <w:r>
        <w:fldChar w:fldCharType="separate"/>
      </w:r>
      <w:r w:rsidR="00BE208D">
        <w:rPr>
          <w:noProof/>
        </w:rPr>
        <w:t>7</w:t>
      </w:r>
      <w:r>
        <w:fldChar w:fldCharType="end"/>
      </w:r>
      <w:bookmarkEnd w:id="145"/>
      <w:r w:rsidRPr="0007414B">
        <w:t>: Percentage of adults facing cost-related barriers to accessing primary health care</w:t>
      </w:r>
      <w:r w:rsidRPr="0007414B" w:rsidDel="001460AE">
        <w:t xml:space="preserve"> </w:t>
      </w:r>
      <w:r>
        <w:t>(in the past 12 months)</w:t>
      </w:r>
      <w:r w:rsidRPr="0007414B">
        <w:t>, by population group, 3-year pooled period ending 2021/22</w:t>
      </w:r>
      <w:bookmarkEnd w:id="146"/>
      <w:bookmarkEnd w:id="147"/>
      <w:bookmarkEnd w:id="148"/>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1736"/>
        <w:gridCol w:w="2057"/>
        <w:gridCol w:w="2143"/>
        <w:gridCol w:w="2143"/>
      </w:tblGrid>
      <w:tr w:rsidR="00395CB9" w:rsidRPr="0007414B" w14:paraId="3B947FDE" w14:textId="77777777" w:rsidTr="00B72E41">
        <w:trPr>
          <w:cantSplit/>
        </w:trPr>
        <w:tc>
          <w:tcPr>
            <w:tcW w:w="1075" w:type="pct"/>
            <w:tcBorders>
              <w:top w:val="nil"/>
              <w:bottom w:val="nil"/>
            </w:tcBorders>
            <w:shd w:val="clear" w:color="auto" w:fill="D9D9D9" w:themeFill="background1" w:themeFillShade="D9"/>
            <w:vAlign w:val="center"/>
            <w:hideMark/>
          </w:tcPr>
          <w:p w14:paraId="1E8D8D1B" w14:textId="77777777" w:rsidR="00395CB9" w:rsidRPr="00B72E41" w:rsidRDefault="00395CB9" w:rsidP="00B72E41">
            <w:pPr>
              <w:pStyle w:val="TableText"/>
              <w:rPr>
                <w:b/>
                <w:bCs/>
              </w:rPr>
            </w:pPr>
            <w:r w:rsidRPr="00B72E41">
              <w:rPr>
                <w:b/>
                <w:bCs/>
              </w:rPr>
              <w:t>Population group (adults)</w:t>
            </w:r>
          </w:p>
        </w:tc>
        <w:tc>
          <w:tcPr>
            <w:tcW w:w="1273" w:type="pct"/>
            <w:tcBorders>
              <w:top w:val="nil"/>
              <w:bottom w:val="nil"/>
            </w:tcBorders>
            <w:shd w:val="clear" w:color="auto" w:fill="D9D9D9" w:themeFill="background1" w:themeFillShade="D9"/>
            <w:vAlign w:val="center"/>
            <w:hideMark/>
          </w:tcPr>
          <w:p w14:paraId="376AF956" w14:textId="77777777" w:rsidR="00395CB9" w:rsidRPr="00B72E41" w:rsidRDefault="00395CB9" w:rsidP="00B72E41">
            <w:pPr>
              <w:pStyle w:val="TableText"/>
              <w:jc w:val="center"/>
              <w:rPr>
                <w:b/>
                <w:bCs/>
              </w:rPr>
            </w:pPr>
            <w:r w:rsidRPr="00B72E41">
              <w:rPr>
                <w:b/>
                <w:bCs/>
              </w:rPr>
              <w:t>Percentage with unmet need for GP due to cost</w:t>
            </w:r>
          </w:p>
        </w:tc>
        <w:tc>
          <w:tcPr>
            <w:tcW w:w="1326" w:type="pct"/>
            <w:tcBorders>
              <w:top w:val="nil"/>
              <w:bottom w:val="nil"/>
            </w:tcBorders>
            <w:shd w:val="clear" w:color="auto" w:fill="D9D9D9" w:themeFill="background1" w:themeFillShade="D9"/>
            <w:vAlign w:val="center"/>
            <w:hideMark/>
          </w:tcPr>
          <w:p w14:paraId="1DEC1862" w14:textId="77777777" w:rsidR="00395CB9" w:rsidRPr="00B72E41" w:rsidRDefault="00395CB9" w:rsidP="00B72E41">
            <w:pPr>
              <w:pStyle w:val="TableText"/>
              <w:jc w:val="center"/>
              <w:rPr>
                <w:b/>
                <w:bCs/>
              </w:rPr>
            </w:pPr>
            <w:r w:rsidRPr="00B72E41">
              <w:rPr>
                <w:b/>
                <w:bCs/>
              </w:rPr>
              <w:t>Percentage with unfilled prescription due to cost</w:t>
            </w:r>
          </w:p>
        </w:tc>
        <w:tc>
          <w:tcPr>
            <w:tcW w:w="1326" w:type="pct"/>
            <w:tcBorders>
              <w:top w:val="nil"/>
              <w:bottom w:val="nil"/>
            </w:tcBorders>
            <w:shd w:val="clear" w:color="auto" w:fill="D9D9D9" w:themeFill="background1" w:themeFillShade="D9"/>
            <w:vAlign w:val="center"/>
          </w:tcPr>
          <w:p w14:paraId="05702DAA" w14:textId="77777777" w:rsidR="00395CB9" w:rsidRPr="00B72E41" w:rsidRDefault="00395CB9" w:rsidP="00B72E41">
            <w:pPr>
              <w:pStyle w:val="TableText"/>
              <w:jc w:val="center"/>
              <w:rPr>
                <w:b/>
                <w:bCs/>
              </w:rPr>
            </w:pPr>
            <w:r w:rsidRPr="00B72E41">
              <w:rPr>
                <w:b/>
                <w:bCs/>
              </w:rPr>
              <w:t>Percentage with unmet need for dental care due to cost</w:t>
            </w:r>
          </w:p>
        </w:tc>
      </w:tr>
      <w:tr w:rsidR="00395CB9" w:rsidRPr="0007414B" w14:paraId="0746F361" w14:textId="77777777" w:rsidTr="00B72E41">
        <w:trPr>
          <w:cantSplit/>
        </w:trPr>
        <w:tc>
          <w:tcPr>
            <w:tcW w:w="1075" w:type="pct"/>
            <w:tcBorders>
              <w:top w:val="nil"/>
            </w:tcBorders>
            <w:shd w:val="clear" w:color="auto" w:fill="auto"/>
            <w:hideMark/>
          </w:tcPr>
          <w:p w14:paraId="4AFA2876" w14:textId="77777777" w:rsidR="00395CB9" w:rsidRPr="00B72E41" w:rsidRDefault="00395CB9" w:rsidP="00B72E41">
            <w:pPr>
              <w:pStyle w:val="TableText"/>
            </w:pPr>
            <w:r w:rsidRPr="00B72E41">
              <w:t>All adults</w:t>
            </w:r>
          </w:p>
        </w:tc>
        <w:tc>
          <w:tcPr>
            <w:tcW w:w="1273" w:type="pct"/>
            <w:tcBorders>
              <w:top w:val="nil"/>
            </w:tcBorders>
            <w:shd w:val="clear" w:color="auto" w:fill="auto"/>
            <w:hideMark/>
          </w:tcPr>
          <w:p w14:paraId="79EF1546" w14:textId="77777777" w:rsidR="00395CB9" w:rsidRPr="00B72E41" w:rsidRDefault="00395CB9" w:rsidP="00B72E41">
            <w:pPr>
              <w:pStyle w:val="TableText"/>
              <w:jc w:val="center"/>
            </w:pPr>
            <w:r w:rsidRPr="00B72E41">
              <w:t>11.5%</w:t>
            </w:r>
          </w:p>
        </w:tc>
        <w:tc>
          <w:tcPr>
            <w:tcW w:w="1326" w:type="pct"/>
            <w:tcBorders>
              <w:top w:val="nil"/>
            </w:tcBorders>
            <w:shd w:val="clear" w:color="auto" w:fill="auto"/>
            <w:hideMark/>
          </w:tcPr>
          <w:p w14:paraId="64101989" w14:textId="77777777" w:rsidR="00395CB9" w:rsidRPr="00B72E41" w:rsidRDefault="00395CB9" w:rsidP="00B72E41">
            <w:pPr>
              <w:pStyle w:val="TableText"/>
              <w:jc w:val="center"/>
            </w:pPr>
            <w:r w:rsidRPr="00B72E41">
              <w:t>3.9%</w:t>
            </w:r>
          </w:p>
        </w:tc>
        <w:tc>
          <w:tcPr>
            <w:tcW w:w="1326" w:type="pct"/>
            <w:tcBorders>
              <w:top w:val="nil"/>
            </w:tcBorders>
          </w:tcPr>
          <w:p w14:paraId="58B08764" w14:textId="77777777" w:rsidR="00395CB9" w:rsidRPr="00B72E41" w:rsidRDefault="00395CB9" w:rsidP="00B72E41">
            <w:pPr>
              <w:pStyle w:val="TableText"/>
              <w:jc w:val="center"/>
            </w:pPr>
            <w:r w:rsidRPr="00B72E41">
              <w:t>39.7%</w:t>
            </w:r>
          </w:p>
        </w:tc>
      </w:tr>
      <w:tr w:rsidR="00395CB9" w:rsidRPr="0007414B" w14:paraId="56A18014" w14:textId="77777777" w:rsidTr="00B72E41">
        <w:trPr>
          <w:cantSplit/>
        </w:trPr>
        <w:tc>
          <w:tcPr>
            <w:tcW w:w="1075" w:type="pct"/>
            <w:shd w:val="clear" w:color="auto" w:fill="auto"/>
          </w:tcPr>
          <w:p w14:paraId="47F380DE" w14:textId="77777777" w:rsidR="00395CB9" w:rsidRPr="00B72E41" w:rsidRDefault="00395CB9" w:rsidP="00B72E41">
            <w:pPr>
              <w:pStyle w:val="TableText"/>
            </w:pPr>
            <w:r w:rsidRPr="00B72E41">
              <w:t>Women</w:t>
            </w:r>
          </w:p>
        </w:tc>
        <w:tc>
          <w:tcPr>
            <w:tcW w:w="1273" w:type="pct"/>
            <w:shd w:val="clear" w:color="auto" w:fill="auto"/>
          </w:tcPr>
          <w:p w14:paraId="63A39A11" w14:textId="77777777" w:rsidR="00395CB9" w:rsidRPr="00B72E41" w:rsidRDefault="00395CB9" w:rsidP="00B72E41">
            <w:pPr>
              <w:pStyle w:val="TableText"/>
              <w:jc w:val="center"/>
            </w:pPr>
            <w:r w:rsidRPr="00B72E41">
              <w:t>14.3%</w:t>
            </w:r>
          </w:p>
        </w:tc>
        <w:tc>
          <w:tcPr>
            <w:tcW w:w="1326" w:type="pct"/>
            <w:shd w:val="clear" w:color="auto" w:fill="auto"/>
          </w:tcPr>
          <w:p w14:paraId="165A5AB7" w14:textId="77777777" w:rsidR="00395CB9" w:rsidRPr="00B72E41" w:rsidRDefault="00395CB9" w:rsidP="00B72E41">
            <w:pPr>
              <w:pStyle w:val="TableText"/>
              <w:jc w:val="center"/>
            </w:pPr>
            <w:r w:rsidRPr="00B72E41">
              <w:t>5.1%</w:t>
            </w:r>
          </w:p>
        </w:tc>
        <w:tc>
          <w:tcPr>
            <w:tcW w:w="1326" w:type="pct"/>
          </w:tcPr>
          <w:p w14:paraId="2356DE79" w14:textId="77777777" w:rsidR="00395CB9" w:rsidRPr="00B72E41" w:rsidRDefault="00395CB9" w:rsidP="00B72E41">
            <w:pPr>
              <w:pStyle w:val="TableText"/>
              <w:jc w:val="center"/>
            </w:pPr>
            <w:r w:rsidRPr="00B72E41">
              <w:t>43.5%</w:t>
            </w:r>
          </w:p>
        </w:tc>
      </w:tr>
      <w:tr w:rsidR="00395CB9" w:rsidRPr="0007414B" w14:paraId="44B6F30A" w14:textId="77777777" w:rsidTr="00B72E41">
        <w:trPr>
          <w:cantSplit/>
        </w:trPr>
        <w:tc>
          <w:tcPr>
            <w:tcW w:w="1075" w:type="pct"/>
            <w:shd w:val="clear" w:color="auto" w:fill="auto"/>
          </w:tcPr>
          <w:p w14:paraId="0CBB5AFB" w14:textId="77777777" w:rsidR="00395CB9" w:rsidRPr="00B72E41" w:rsidRDefault="00395CB9" w:rsidP="00B72E41">
            <w:pPr>
              <w:pStyle w:val="TableText"/>
            </w:pPr>
            <w:r w:rsidRPr="00B72E41">
              <w:t>Men</w:t>
            </w:r>
          </w:p>
        </w:tc>
        <w:tc>
          <w:tcPr>
            <w:tcW w:w="1273" w:type="pct"/>
            <w:shd w:val="clear" w:color="auto" w:fill="auto"/>
          </w:tcPr>
          <w:p w14:paraId="0A9E0F40" w14:textId="77777777" w:rsidR="00395CB9" w:rsidRPr="00B72E41" w:rsidRDefault="00395CB9" w:rsidP="00B72E41">
            <w:pPr>
              <w:pStyle w:val="TableText"/>
              <w:jc w:val="center"/>
            </w:pPr>
            <w:r w:rsidRPr="00B72E41">
              <w:t>8.5%</w:t>
            </w:r>
          </w:p>
        </w:tc>
        <w:tc>
          <w:tcPr>
            <w:tcW w:w="1326" w:type="pct"/>
            <w:shd w:val="clear" w:color="auto" w:fill="auto"/>
          </w:tcPr>
          <w:p w14:paraId="6CBBC956" w14:textId="77777777" w:rsidR="00395CB9" w:rsidRPr="00B72E41" w:rsidRDefault="00395CB9" w:rsidP="00B72E41">
            <w:pPr>
              <w:pStyle w:val="TableText"/>
              <w:jc w:val="center"/>
            </w:pPr>
            <w:r w:rsidRPr="00B72E41">
              <w:t>2.5%</w:t>
            </w:r>
          </w:p>
        </w:tc>
        <w:tc>
          <w:tcPr>
            <w:tcW w:w="1326" w:type="pct"/>
          </w:tcPr>
          <w:p w14:paraId="7B27E632" w14:textId="77777777" w:rsidR="00395CB9" w:rsidRPr="00B72E41" w:rsidRDefault="00395CB9" w:rsidP="00B72E41">
            <w:pPr>
              <w:pStyle w:val="TableText"/>
              <w:jc w:val="center"/>
            </w:pPr>
            <w:r w:rsidRPr="00B72E41">
              <w:t>35.7%</w:t>
            </w:r>
          </w:p>
        </w:tc>
      </w:tr>
      <w:tr w:rsidR="00395CB9" w:rsidRPr="0007414B" w14:paraId="1D67F106" w14:textId="77777777" w:rsidTr="00B72E41">
        <w:trPr>
          <w:cantSplit/>
        </w:trPr>
        <w:tc>
          <w:tcPr>
            <w:tcW w:w="1075" w:type="pct"/>
            <w:shd w:val="clear" w:color="auto" w:fill="auto"/>
            <w:hideMark/>
          </w:tcPr>
          <w:p w14:paraId="3996AF9C" w14:textId="77777777" w:rsidR="00395CB9" w:rsidRPr="00B72E41" w:rsidRDefault="00395CB9" w:rsidP="00B72E41">
            <w:pPr>
              <w:pStyle w:val="TableText"/>
            </w:pPr>
            <w:r w:rsidRPr="00B72E41">
              <w:t>Māori</w:t>
            </w:r>
          </w:p>
        </w:tc>
        <w:tc>
          <w:tcPr>
            <w:tcW w:w="1273" w:type="pct"/>
            <w:shd w:val="clear" w:color="auto" w:fill="auto"/>
          </w:tcPr>
          <w:p w14:paraId="64DBB981" w14:textId="77777777" w:rsidR="00395CB9" w:rsidRPr="00B72E41" w:rsidRDefault="00395CB9" w:rsidP="00B72E41">
            <w:pPr>
              <w:pStyle w:val="TableText"/>
              <w:jc w:val="center"/>
            </w:pPr>
            <w:r w:rsidRPr="00B72E41">
              <w:t>16.9%</w:t>
            </w:r>
          </w:p>
        </w:tc>
        <w:tc>
          <w:tcPr>
            <w:tcW w:w="1326" w:type="pct"/>
            <w:shd w:val="clear" w:color="auto" w:fill="auto"/>
          </w:tcPr>
          <w:p w14:paraId="5C686ECA" w14:textId="77777777" w:rsidR="00395CB9" w:rsidRPr="00B72E41" w:rsidRDefault="00395CB9" w:rsidP="00B72E41">
            <w:pPr>
              <w:pStyle w:val="TableText"/>
              <w:jc w:val="center"/>
            </w:pPr>
            <w:r w:rsidRPr="00B72E41">
              <w:t>9.4%</w:t>
            </w:r>
          </w:p>
        </w:tc>
        <w:tc>
          <w:tcPr>
            <w:tcW w:w="1326" w:type="pct"/>
          </w:tcPr>
          <w:p w14:paraId="2D6F2EEC" w14:textId="77777777" w:rsidR="00395CB9" w:rsidRPr="00B72E41" w:rsidRDefault="00395CB9" w:rsidP="00B72E41">
            <w:pPr>
              <w:pStyle w:val="TableText"/>
              <w:jc w:val="center"/>
            </w:pPr>
            <w:r w:rsidRPr="00B72E41">
              <w:t>52.0%</w:t>
            </w:r>
          </w:p>
        </w:tc>
      </w:tr>
      <w:tr w:rsidR="00395CB9" w:rsidRPr="0007414B" w14:paraId="3854DFCB" w14:textId="77777777" w:rsidTr="00B72E41">
        <w:trPr>
          <w:cantSplit/>
        </w:trPr>
        <w:tc>
          <w:tcPr>
            <w:tcW w:w="1075" w:type="pct"/>
            <w:shd w:val="clear" w:color="auto" w:fill="auto"/>
            <w:hideMark/>
          </w:tcPr>
          <w:p w14:paraId="37962C20" w14:textId="77777777" w:rsidR="00395CB9" w:rsidRPr="00B72E41" w:rsidRDefault="00395CB9" w:rsidP="00B72E41">
            <w:pPr>
              <w:pStyle w:val="TableText"/>
            </w:pPr>
            <w:r w:rsidRPr="00B72E41">
              <w:t>Pacific peoples</w:t>
            </w:r>
          </w:p>
        </w:tc>
        <w:tc>
          <w:tcPr>
            <w:tcW w:w="1273" w:type="pct"/>
            <w:shd w:val="clear" w:color="auto" w:fill="auto"/>
          </w:tcPr>
          <w:p w14:paraId="1727A344" w14:textId="77777777" w:rsidR="00395CB9" w:rsidRPr="00B72E41" w:rsidRDefault="00395CB9" w:rsidP="00B72E41">
            <w:pPr>
              <w:pStyle w:val="TableText"/>
              <w:jc w:val="center"/>
            </w:pPr>
            <w:r w:rsidRPr="00B72E41">
              <w:t>14.3%</w:t>
            </w:r>
          </w:p>
        </w:tc>
        <w:tc>
          <w:tcPr>
            <w:tcW w:w="1326" w:type="pct"/>
            <w:shd w:val="clear" w:color="auto" w:fill="auto"/>
          </w:tcPr>
          <w:p w14:paraId="66AF20CC" w14:textId="77777777" w:rsidR="00395CB9" w:rsidRPr="00B72E41" w:rsidRDefault="00395CB9" w:rsidP="00B72E41">
            <w:pPr>
              <w:pStyle w:val="TableText"/>
              <w:jc w:val="center"/>
            </w:pPr>
            <w:r w:rsidRPr="00B72E41">
              <w:t>8.0%</w:t>
            </w:r>
          </w:p>
        </w:tc>
        <w:tc>
          <w:tcPr>
            <w:tcW w:w="1326" w:type="pct"/>
          </w:tcPr>
          <w:p w14:paraId="678A1BAE" w14:textId="77777777" w:rsidR="00395CB9" w:rsidRPr="00B72E41" w:rsidRDefault="00395CB9" w:rsidP="00B72E41">
            <w:pPr>
              <w:pStyle w:val="TableText"/>
              <w:jc w:val="center"/>
            </w:pPr>
            <w:r w:rsidRPr="00B72E41">
              <w:t>47.4%</w:t>
            </w:r>
          </w:p>
        </w:tc>
      </w:tr>
      <w:tr w:rsidR="00395CB9" w:rsidRPr="0007414B" w14:paraId="4248436A" w14:textId="77777777" w:rsidTr="00B72E41">
        <w:trPr>
          <w:cantSplit/>
        </w:trPr>
        <w:tc>
          <w:tcPr>
            <w:tcW w:w="1075" w:type="pct"/>
            <w:shd w:val="clear" w:color="auto" w:fill="auto"/>
            <w:hideMark/>
          </w:tcPr>
          <w:p w14:paraId="2B1A32B5" w14:textId="77777777" w:rsidR="00395CB9" w:rsidRPr="00B72E41" w:rsidRDefault="00395CB9" w:rsidP="00B72E41">
            <w:pPr>
              <w:pStyle w:val="TableText"/>
            </w:pPr>
            <w:r w:rsidRPr="00B72E41">
              <w:t>Asian</w:t>
            </w:r>
          </w:p>
        </w:tc>
        <w:tc>
          <w:tcPr>
            <w:tcW w:w="1273" w:type="pct"/>
            <w:shd w:val="clear" w:color="auto" w:fill="auto"/>
          </w:tcPr>
          <w:p w14:paraId="271819EE" w14:textId="77777777" w:rsidR="00395CB9" w:rsidRPr="00B72E41" w:rsidRDefault="00395CB9" w:rsidP="00B72E41">
            <w:pPr>
              <w:pStyle w:val="TableText"/>
              <w:jc w:val="center"/>
            </w:pPr>
            <w:r w:rsidRPr="00B72E41">
              <w:t>10.2%</w:t>
            </w:r>
          </w:p>
        </w:tc>
        <w:tc>
          <w:tcPr>
            <w:tcW w:w="1326" w:type="pct"/>
            <w:shd w:val="clear" w:color="auto" w:fill="auto"/>
          </w:tcPr>
          <w:p w14:paraId="62A78092" w14:textId="77777777" w:rsidR="00395CB9" w:rsidRPr="00B72E41" w:rsidRDefault="00395CB9" w:rsidP="00B72E41">
            <w:pPr>
              <w:pStyle w:val="TableText"/>
              <w:jc w:val="center"/>
            </w:pPr>
            <w:r w:rsidRPr="00B72E41">
              <w:t>2.3%</w:t>
            </w:r>
          </w:p>
        </w:tc>
        <w:tc>
          <w:tcPr>
            <w:tcW w:w="1326" w:type="pct"/>
          </w:tcPr>
          <w:p w14:paraId="4EFC5B52" w14:textId="77777777" w:rsidR="00395CB9" w:rsidRPr="00B72E41" w:rsidRDefault="00395CB9" w:rsidP="00B72E41">
            <w:pPr>
              <w:pStyle w:val="TableText"/>
              <w:jc w:val="center"/>
            </w:pPr>
            <w:r w:rsidRPr="00B72E41">
              <w:t>39.4%</w:t>
            </w:r>
          </w:p>
        </w:tc>
      </w:tr>
      <w:tr w:rsidR="00395CB9" w:rsidRPr="0007414B" w14:paraId="63499B19" w14:textId="77777777" w:rsidTr="00B72E41">
        <w:trPr>
          <w:cantSplit/>
        </w:trPr>
        <w:tc>
          <w:tcPr>
            <w:tcW w:w="1075" w:type="pct"/>
            <w:shd w:val="clear" w:color="auto" w:fill="auto"/>
            <w:hideMark/>
          </w:tcPr>
          <w:p w14:paraId="694EFF30" w14:textId="77777777" w:rsidR="00395CB9" w:rsidRPr="00B72E41" w:rsidRDefault="00395CB9" w:rsidP="00B72E41">
            <w:pPr>
              <w:pStyle w:val="TableText"/>
            </w:pPr>
            <w:r w:rsidRPr="00B72E41">
              <w:t>European/other</w:t>
            </w:r>
          </w:p>
        </w:tc>
        <w:tc>
          <w:tcPr>
            <w:tcW w:w="1273" w:type="pct"/>
            <w:shd w:val="clear" w:color="auto" w:fill="auto"/>
          </w:tcPr>
          <w:p w14:paraId="16A0D1CC" w14:textId="77777777" w:rsidR="00395CB9" w:rsidRPr="00B72E41" w:rsidRDefault="00395CB9" w:rsidP="00B72E41">
            <w:pPr>
              <w:pStyle w:val="TableText"/>
              <w:jc w:val="center"/>
            </w:pPr>
            <w:r w:rsidRPr="00B72E41">
              <w:t>11.2%</w:t>
            </w:r>
          </w:p>
        </w:tc>
        <w:tc>
          <w:tcPr>
            <w:tcW w:w="1326" w:type="pct"/>
            <w:shd w:val="clear" w:color="auto" w:fill="auto"/>
          </w:tcPr>
          <w:p w14:paraId="329D2E2A" w14:textId="77777777" w:rsidR="00395CB9" w:rsidRPr="00B72E41" w:rsidRDefault="00395CB9" w:rsidP="00B72E41">
            <w:pPr>
              <w:pStyle w:val="TableText"/>
              <w:jc w:val="center"/>
            </w:pPr>
            <w:r w:rsidRPr="00B72E41">
              <w:t>3.2%</w:t>
            </w:r>
          </w:p>
        </w:tc>
        <w:tc>
          <w:tcPr>
            <w:tcW w:w="1326" w:type="pct"/>
          </w:tcPr>
          <w:p w14:paraId="5300DDCB" w14:textId="77777777" w:rsidR="00395CB9" w:rsidRPr="00B72E41" w:rsidRDefault="00395CB9" w:rsidP="00B72E41">
            <w:pPr>
              <w:pStyle w:val="TableText"/>
              <w:jc w:val="center"/>
            </w:pPr>
            <w:r w:rsidRPr="00B72E41">
              <w:t>37.9%</w:t>
            </w:r>
          </w:p>
        </w:tc>
      </w:tr>
      <w:tr w:rsidR="00395CB9" w:rsidRPr="0007414B" w14:paraId="07D4C367" w14:textId="77777777" w:rsidTr="00B72E41">
        <w:trPr>
          <w:cantSplit/>
        </w:trPr>
        <w:tc>
          <w:tcPr>
            <w:tcW w:w="1075" w:type="pct"/>
            <w:shd w:val="clear" w:color="auto" w:fill="auto"/>
            <w:hideMark/>
          </w:tcPr>
          <w:p w14:paraId="19CFEC92" w14:textId="77777777" w:rsidR="00395CB9" w:rsidRPr="00B72E41" w:rsidRDefault="00395CB9" w:rsidP="00B72E41">
            <w:pPr>
              <w:pStyle w:val="TableText"/>
            </w:pPr>
            <w:r w:rsidRPr="00B72E41">
              <w:t>Disabled</w:t>
            </w:r>
          </w:p>
        </w:tc>
        <w:tc>
          <w:tcPr>
            <w:tcW w:w="1273" w:type="pct"/>
            <w:shd w:val="clear" w:color="auto" w:fill="auto"/>
          </w:tcPr>
          <w:p w14:paraId="58B35263" w14:textId="77777777" w:rsidR="00395CB9" w:rsidRPr="00B72E41" w:rsidRDefault="00395CB9" w:rsidP="00B72E41">
            <w:pPr>
              <w:pStyle w:val="TableText"/>
              <w:jc w:val="center"/>
            </w:pPr>
            <w:r w:rsidRPr="00B72E41">
              <w:t>18.2%</w:t>
            </w:r>
          </w:p>
        </w:tc>
        <w:tc>
          <w:tcPr>
            <w:tcW w:w="1326" w:type="pct"/>
            <w:shd w:val="clear" w:color="auto" w:fill="auto"/>
          </w:tcPr>
          <w:p w14:paraId="726C8664" w14:textId="77777777" w:rsidR="00395CB9" w:rsidRPr="00B72E41" w:rsidRDefault="00395CB9" w:rsidP="00B72E41">
            <w:pPr>
              <w:pStyle w:val="TableText"/>
              <w:jc w:val="center"/>
            </w:pPr>
            <w:r w:rsidRPr="00B72E41">
              <w:t>9.1%</w:t>
            </w:r>
          </w:p>
        </w:tc>
        <w:tc>
          <w:tcPr>
            <w:tcW w:w="1326" w:type="pct"/>
          </w:tcPr>
          <w:p w14:paraId="486C8FC8" w14:textId="77777777" w:rsidR="00395CB9" w:rsidRPr="00B72E41" w:rsidRDefault="00395CB9" w:rsidP="00B72E41">
            <w:pPr>
              <w:pStyle w:val="TableText"/>
              <w:jc w:val="center"/>
            </w:pPr>
            <w:r w:rsidRPr="00B72E41">
              <w:t>49.5%</w:t>
            </w:r>
          </w:p>
        </w:tc>
      </w:tr>
      <w:tr w:rsidR="00395CB9" w:rsidRPr="0007414B" w14:paraId="6E82BE32" w14:textId="77777777" w:rsidTr="00B72E41">
        <w:trPr>
          <w:cantSplit/>
        </w:trPr>
        <w:tc>
          <w:tcPr>
            <w:tcW w:w="1075" w:type="pct"/>
            <w:shd w:val="clear" w:color="auto" w:fill="auto"/>
          </w:tcPr>
          <w:p w14:paraId="0858EE6F" w14:textId="77777777" w:rsidR="00395CB9" w:rsidRPr="00B72E41" w:rsidRDefault="00395CB9" w:rsidP="00B72E41">
            <w:pPr>
              <w:pStyle w:val="TableText"/>
            </w:pPr>
            <w:r w:rsidRPr="00B72E41">
              <w:t>Non-disabled</w:t>
            </w:r>
          </w:p>
        </w:tc>
        <w:tc>
          <w:tcPr>
            <w:tcW w:w="1273" w:type="pct"/>
            <w:shd w:val="clear" w:color="auto" w:fill="auto"/>
          </w:tcPr>
          <w:p w14:paraId="56BFCBA6" w14:textId="77777777" w:rsidR="00395CB9" w:rsidRPr="00B72E41" w:rsidRDefault="00395CB9" w:rsidP="00B72E41">
            <w:pPr>
              <w:pStyle w:val="TableText"/>
              <w:jc w:val="center"/>
            </w:pPr>
            <w:r w:rsidRPr="00B72E41">
              <w:t>10.9%</w:t>
            </w:r>
          </w:p>
        </w:tc>
        <w:tc>
          <w:tcPr>
            <w:tcW w:w="1326" w:type="pct"/>
            <w:shd w:val="clear" w:color="auto" w:fill="auto"/>
          </w:tcPr>
          <w:p w14:paraId="16F48968" w14:textId="77777777" w:rsidR="00395CB9" w:rsidRPr="00B72E41" w:rsidRDefault="00395CB9" w:rsidP="00B72E41">
            <w:pPr>
              <w:pStyle w:val="TableText"/>
              <w:jc w:val="center"/>
            </w:pPr>
            <w:r w:rsidRPr="00B72E41">
              <w:t>3.4%</w:t>
            </w:r>
          </w:p>
        </w:tc>
        <w:tc>
          <w:tcPr>
            <w:tcW w:w="1326" w:type="pct"/>
          </w:tcPr>
          <w:p w14:paraId="3E48160D" w14:textId="77777777" w:rsidR="00395CB9" w:rsidRPr="00B72E41" w:rsidRDefault="00395CB9" w:rsidP="00B72E41">
            <w:pPr>
              <w:pStyle w:val="TableText"/>
              <w:jc w:val="center"/>
            </w:pPr>
            <w:r w:rsidRPr="00B72E41">
              <w:t>38.8%</w:t>
            </w:r>
          </w:p>
        </w:tc>
      </w:tr>
      <w:tr w:rsidR="00395CB9" w:rsidRPr="0007414B" w14:paraId="50766CF5" w14:textId="77777777" w:rsidTr="00B72E41">
        <w:trPr>
          <w:cantSplit/>
        </w:trPr>
        <w:tc>
          <w:tcPr>
            <w:tcW w:w="1075" w:type="pct"/>
            <w:shd w:val="clear" w:color="auto" w:fill="auto"/>
          </w:tcPr>
          <w:p w14:paraId="28C77D53" w14:textId="77777777" w:rsidR="00395CB9" w:rsidRPr="00B72E41" w:rsidRDefault="00395CB9" w:rsidP="00B72E41">
            <w:pPr>
              <w:pStyle w:val="TableText"/>
            </w:pPr>
            <w:r w:rsidRPr="00B72E41">
              <w:t>Most deprived areas</w:t>
            </w:r>
          </w:p>
        </w:tc>
        <w:tc>
          <w:tcPr>
            <w:tcW w:w="1273" w:type="pct"/>
            <w:shd w:val="clear" w:color="auto" w:fill="auto"/>
          </w:tcPr>
          <w:p w14:paraId="081FA80E" w14:textId="77777777" w:rsidR="00395CB9" w:rsidRPr="00B72E41" w:rsidRDefault="00395CB9" w:rsidP="00B72E41">
            <w:pPr>
              <w:pStyle w:val="TableText"/>
              <w:jc w:val="center"/>
            </w:pPr>
            <w:r w:rsidRPr="00B72E41">
              <w:t>15.4%</w:t>
            </w:r>
          </w:p>
        </w:tc>
        <w:tc>
          <w:tcPr>
            <w:tcW w:w="1326" w:type="pct"/>
            <w:shd w:val="clear" w:color="auto" w:fill="auto"/>
          </w:tcPr>
          <w:p w14:paraId="417EDED4" w14:textId="77777777" w:rsidR="00395CB9" w:rsidRPr="00B72E41" w:rsidRDefault="00395CB9" w:rsidP="00B72E41">
            <w:pPr>
              <w:pStyle w:val="TableText"/>
              <w:jc w:val="center"/>
            </w:pPr>
            <w:r w:rsidRPr="00B72E41">
              <w:t>8.1%</w:t>
            </w:r>
          </w:p>
        </w:tc>
        <w:tc>
          <w:tcPr>
            <w:tcW w:w="1326" w:type="pct"/>
          </w:tcPr>
          <w:p w14:paraId="3B373844" w14:textId="77777777" w:rsidR="00395CB9" w:rsidRPr="00B72E41" w:rsidRDefault="00395CB9" w:rsidP="00B72E41">
            <w:pPr>
              <w:pStyle w:val="TableText"/>
              <w:jc w:val="center"/>
            </w:pPr>
            <w:r w:rsidRPr="00B72E41">
              <w:t>49.1%</w:t>
            </w:r>
          </w:p>
        </w:tc>
      </w:tr>
      <w:tr w:rsidR="00395CB9" w:rsidRPr="0007414B" w14:paraId="605397D5" w14:textId="77777777" w:rsidTr="00B72E41">
        <w:trPr>
          <w:cantSplit/>
        </w:trPr>
        <w:tc>
          <w:tcPr>
            <w:tcW w:w="1075" w:type="pct"/>
            <w:shd w:val="clear" w:color="auto" w:fill="auto"/>
          </w:tcPr>
          <w:p w14:paraId="6A3ECE30" w14:textId="77777777" w:rsidR="00395CB9" w:rsidRPr="00B72E41" w:rsidRDefault="00395CB9" w:rsidP="00B72E41">
            <w:pPr>
              <w:pStyle w:val="TableText"/>
            </w:pPr>
            <w:r w:rsidRPr="00B72E41">
              <w:t>Least deprived areas</w:t>
            </w:r>
          </w:p>
        </w:tc>
        <w:tc>
          <w:tcPr>
            <w:tcW w:w="1273" w:type="pct"/>
            <w:shd w:val="clear" w:color="auto" w:fill="auto"/>
          </w:tcPr>
          <w:p w14:paraId="067909D1" w14:textId="77777777" w:rsidR="00395CB9" w:rsidRPr="00B72E41" w:rsidRDefault="00395CB9" w:rsidP="00B72E41">
            <w:pPr>
              <w:pStyle w:val="TableText"/>
              <w:jc w:val="center"/>
            </w:pPr>
            <w:r w:rsidRPr="00B72E41">
              <w:t>8.3%</w:t>
            </w:r>
          </w:p>
        </w:tc>
        <w:tc>
          <w:tcPr>
            <w:tcW w:w="1326" w:type="pct"/>
            <w:shd w:val="clear" w:color="auto" w:fill="auto"/>
          </w:tcPr>
          <w:p w14:paraId="6C7A4C7F" w14:textId="77777777" w:rsidR="00395CB9" w:rsidRPr="00B72E41" w:rsidRDefault="00395CB9" w:rsidP="00B72E41">
            <w:pPr>
              <w:pStyle w:val="TableText"/>
              <w:jc w:val="center"/>
            </w:pPr>
            <w:r w:rsidRPr="00B72E41">
              <w:t>1.4%</w:t>
            </w:r>
          </w:p>
        </w:tc>
        <w:tc>
          <w:tcPr>
            <w:tcW w:w="1326" w:type="pct"/>
          </w:tcPr>
          <w:p w14:paraId="2AD59F78" w14:textId="77777777" w:rsidR="00395CB9" w:rsidRPr="00B72E41" w:rsidRDefault="00395CB9" w:rsidP="00B72E41">
            <w:pPr>
              <w:pStyle w:val="TableText"/>
              <w:jc w:val="center"/>
            </w:pPr>
            <w:r w:rsidRPr="00B72E41">
              <w:t>30.8%</w:t>
            </w:r>
          </w:p>
        </w:tc>
      </w:tr>
    </w:tbl>
    <w:p w14:paraId="01F4AD09" w14:textId="77777777" w:rsidR="00395CB9" w:rsidRPr="00B72E41" w:rsidRDefault="00395CB9" w:rsidP="00B72E41">
      <w:pPr>
        <w:pStyle w:val="Source"/>
      </w:pPr>
      <w:r w:rsidRPr="00B72E41">
        <w:t>Source: Manatū Hauora unpublished data (2023)</w:t>
      </w:r>
    </w:p>
    <w:p w14:paraId="229EDFE7" w14:textId="77777777" w:rsidR="00395CB9" w:rsidRPr="0007414B" w:rsidRDefault="00395CB9" w:rsidP="00395CB9">
      <w:pPr>
        <w:rPr>
          <w:rFonts w:cs="Segoe UI"/>
          <w:color w:val="333333"/>
          <w:szCs w:val="21"/>
          <w:lang w:eastAsia="en-NZ"/>
        </w:rPr>
      </w:pPr>
    </w:p>
    <w:p w14:paraId="6526705E" w14:textId="77777777" w:rsidR="00860CE8" w:rsidRDefault="00860CE8" w:rsidP="00860CE8">
      <w:bookmarkStart w:id="149" w:name="_Ref134427115"/>
      <w:bookmarkStart w:id="150" w:name="_Toc138327003"/>
      <w:r>
        <w:t>Table 8 shows other barriers to accessing primary health care that adults faced for the single year of 2021/22. These barriers were:</w:t>
      </w:r>
    </w:p>
    <w:p w14:paraId="0EB1B62B" w14:textId="5685E87B" w:rsidR="00860CE8" w:rsidRDefault="00860CE8" w:rsidP="00860CE8">
      <w:pPr>
        <w:pStyle w:val="Bullet"/>
      </w:pPr>
      <w:r>
        <w:t>unmet need for a GP due to wait time (where someone had a medical problem but did not visit a GP because the time taken to get an appointment was too long)</w:t>
      </w:r>
    </w:p>
    <w:p w14:paraId="52A6584D" w14:textId="7E039190" w:rsidR="00860CE8" w:rsidRDefault="00860CE8" w:rsidP="00860CE8">
      <w:pPr>
        <w:pStyle w:val="Bullet"/>
      </w:pPr>
      <w:r>
        <w:t>unmet need for GP services due to lack of transport (where someone had a medical problem but did not visit or talk to a GP due to lack of transport)</w:t>
      </w:r>
    </w:p>
    <w:p w14:paraId="52966327" w14:textId="5A9655DE" w:rsidR="00860CE8" w:rsidRDefault="00860CE8" w:rsidP="00860CE8">
      <w:pPr>
        <w:pStyle w:val="Bullet"/>
      </w:pPr>
      <w:r>
        <w:t>unmet need for a GP due to lack of care available for a dependant (where someone had a medical problem but could not arrange childcare or care for a dependent adult; Manatū Hauora 2023a).</w:t>
      </w:r>
    </w:p>
    <w:p w14:paraId="6E66BF8F" w14:textId="77777777" w:rsidR="00860CE8" w:rsidRDefault="00860CE8" w:rsidP="00860CE8"/>
    <w:p w14:paraId="4ADBFD28" w14:textId="76CFBC78" w:rsidR="004B1165" w:rsidRDefault="00860CE8" w:rsidP="00860CE8">
      <w:pPr>
        <w:sectPr w:rsidR="004B1165" w:rsidSect="00025EAD">
          <w:pgSz w:w="11907" w:h="16834" w:code="9"/>
          <w:pgMar w:top="1418" w:right="1701" w:bottom="1134" w:left="1843" w:header="284" w:footer="425" w:gutter="284"/>
          <w:cols w:space="720"/>
        </w:sectPr>
      </w:pPr>
      <w:r>
        <w:t>The highest proportion of unmet need was for a GP due to wait time to get an appointment (11.5%), this need was highest among Māori (14.6%), women (13.4%) and those living in the most deprived areas (12.9%).</w:t>
      </w:r>
    </w:p>
    <w:p w14:paraId="73CDD4BB" w14:textId="1EE864E3" w:rsidR="00395CB9" w:rsidRPr="0007414B" w:rsidRDefault="00395CB9" w:rsidP="00B72E41">
      <w:pPr>
        <w:pStyle w:val="Table"/>
      </w:pPr>
      <w:bookmarkStart w:id="151" w:name="_Toc138409984"/>
      <w:r w:rsidRPr="0007414B">
        <w:lastRenderedPageBreak/>
        <w:t xml:space="preserve">Table </w:t>
      </w:r>
      <w:r>
        <w:fldChar w:fldCharType="begin"/>
      </w:r>
      <w:r>
        <w:instrText>SEQ Table \* ARABIC</w:instrText>
      </w:r>
      <w:r>
        <w:fldChar w:fldCharType="separate"/>
      </w:r>
      <w:r w:rsidR="00BE208D">
        <w:rPr>
          <w:noProof/>
        </w:rPr>
        <w:t>8</w:t>
      </w:r>
      <w:r>
        <w:fldChar w:fldCharType="end"/>
      </w:r>
      <w:bookmarkEnd w:id="149"/>
      <w:r w:rsidRPr="0007414B">
        <w:t>: Percentage of adults facing other barriers to accessing primary health care, by population group, 2021/22</w:t>
      </w:r>
      <w:bookmarkEnd w:id="150"/>
      <w:bookmarkEnd w:id="151"/>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1736"/>
        <w:gridCol w:w="2057"/>
        <w:gridCol w:w="2143"/>
        <w:gridCol w:w="2143"/>
      </w:tblGrid>
      <w:tr w:rsidR="00395CB9" w:rsidRPr="0007414B" w14:paraId="70A34714" w14:textId="77777777" w:rsidTr="00B72E41">
        <w:trPr>
          <w:cantSplit/>
        </w:trPr>
        <w:tc>
          <w:tcPr>
            <w:tcW w:w="1075" w:type="pct"/>
            <w:tcBorders>
              <w:top w:val="nil"/>
              <w:bottom w:val="nil"/>
            </w:tcBorders>
            <w:shd w:val="clear" w:color="auto" w:fill="D9D9D9" w:themeFill="background1" w:themeFillShade="D9"/>
            <w:vAlign w:val="center"/>
            <w:hideMark/>
          </w:tcPr>
          <w:p w14:paraId="3A66FD40" w14:textId="77777777" w:rsidR="00395CB9" w:rsidRPr="00B72E41" w:rsidRDefault="00395CB9" w:rsidP="00B72E41">
            <w:pPr>
              <w:pStyle w:val="TableText"/>
              <w:rPr>
                <w:b/>
                <w:bCs/>
              </w:rPr>
            </w:pPr>
            <w:r w:rsidRPr="00B72E41">
              <w:rPr>
                <w:b/>
                <w:bCs/>
              </w:rPr>
              <w:t>Population group (adults)</w:t>
            </w:r>
          </w:p>
        </w:tc>
        <w:tc>
          <w:tcPr>
            <w:tcW w:w="1273" w:type="pct"/>
            <w:tcBorders>
              <w:top w:val="nil"/>
              <w:bottom w:val="nil"/>
            </w:tcBorders>
            <w:shd w:val="clear" w:color="auto" w:fill="D9D9D9" w:themeFill="background1" w:themeFillShade="D9"/>
            <w:vAlign w:val="center"/>
          </w:tcPr>
          <w:p w14:paraId="1C0E48B5" w14:textId="77777777" w:rsidR="00395CB9" w:rsidRPr="00B72E41" w:rsidRDefault="00395CB9" w:rsidP="00B72E41">
            <w:pPr>
              <w:pStyle w:val="TableText"/>
              <w:jc w:val="center"/>
              <w:rPr>
                <w:b/>
                <w:bCs/>
              </w:rPr>
            </w:pPr>
            <w:r w:rsidRPr="00B72E41">
              <w:rPr>
                <w:b/>
                <w:bCs/>
              </w:rPr>
              <w:t>Unmet need for GP because of wait time to get an appointment</w:t>
            </w:r>
          </w:p>
        </w:tc>
        <w:tc>
          <w:tcPr>
            <w:tcW w:w="1326" w:type="pct"/>
            <w:tcBorders>
              <w:top w:val="nil"/>
              <w:bottom w:val="nil"/>
            </w:tcBorders>
            <w:shd w:val="clear" w:color="auto" w:fill="D9D9D9" w:themeFill="background1" w:themeFillShade="D9"/>
            <w:vAlign w:val="center"/>
          </w:tcPr>
          <w:p w14:paraId="6B081407" w14:textId="77777777" w:rsidR="00395CB9" w:rsidRPr="00B72E41" w:rsidRDefault="00395CB9" w:rsidP="00B72E41">
            <w:pPr>
              <w:pStyle w:val="TableText"/>
              <w:jc w:val="center"/>
              <w:rPr>
                <w:b/>
                <w:bCs/>
              </w:rPr>
            </w:pPr>
            <w:r w:rsidRPr="00B72E41">
              <w:rPr>
                <w:b/>
                <w:bCs/>
              </w:rPr>
              <w:t>Unmet need for a GP due to lack of transport</w:t>
            </w:r>
          </w:p>
        </w:tc>
        <w:tc>
          <w:tcPr>
            <w:tcW w:w="1326" w:type="pct"/>
            <w:tcBorders>
              <w:top w:val="nil"/>
              <w:bottom w:val="nil"/>
            </w:tcBorders>
            <w:shd w:val="clear" w:color="auto" w:fill="D9D9D9" w:themeFill="background1" w:themeFillShade="D9"/>
            <w:vAlign w:val="center"/>
          </w:tcPr>
          <w:p w14:paraId="2FF54D4D" w14:textId="77777777" w:rsidR="00395CB9" w:rsidRPr="00B72E41" w:rsidRDefault="00395CB9" w:rsidP="00B72E41">
            <w:pPr>
              <w:pStyle w:val="TableText"/>
              <w:jc w:val="center"/>
              <w:rPr>
                <w:b/>
                <w:bCs/>
              </w:rPr>
            </w:pPr>
            <w:r w:rsidRPr="00B72E41">
              <w:rPr>
                <w:b/>
                <w:bCs/>
              </w:rPr>
              <w:t>Unmet need for GP due to lack of care available for a dependant</w:t>
            </w:r>
          </w:p>
        </w:tc>
      </w:tr>
      <w:tr w:rsidR="00395CB9" w:rsidRPr="0007414B" w14:paraId="7E49D6B2" w14:textId="77777777" w:rsidTr="00B72E41">
        <w:trPr>
          <w:cantSplit/>
        </w:trPr>
        <w:tc>
          <w:tcPr>
            <w:tcW w:w="1075" w:type="pct"/>
            <w:tcBorders>
              <w:top w:val="nil"/>
            </w:tcBorders>
            <w:shd w:val="clear" w:color="auto" w:fill="auto"/>
            <w:hideMark/>
          </w:tcPr>
          <w:p w14:paraId="42EACEBD" w14:textId="77777777" w:rsidR="00395CB9" w:rsidRPr="00B72E41" w:rsidRDefault="00395CB9" w:rsidP="00B72E41">
            <w:pPr>
              <w:pStyle w:val="TableText"/>
            </w:pPr>
            <w:r w:rsidRPr="00B72E41">
              <w:t>All adults</w:t>
            </w:r>
          </w:p>
        </w:tc>
        <w:tc>
          <w:tcPr>
            <w:tcW w:w="1273" w:type="pct"/>
            <w:tcBorders>
              <w:top w:val="nil"/>
            </w:tcBorders>
            <w:shd w:val="clear" w:color="auto" w:fill="auto"/>
          </w:tcPr>
          <w:p w14:paraId="450A07E5" w14:textId="77777777" w:rsidR="00395CB9" w:rsidRPr="00B72E41" w:rsidRDefault="00395CB9" w:rsidP="00B72E41">
            <w:pPr>
              <w:pStyle w:val="TableText"/>
              <w:jc w:val="center"/>
            </w:pPr>
            <w:r w:rsidRPr="00B72E41">
              <w:t>11.5%</w:t>
            </w:r>
          </w:p>
        </w:tc>
        <w:tc>
          <w:tcPr>
            <w:tcW w:w="1326" w:type="pct"/>
            <w:tcBorders>
              <w:top w:val="nil"/>
            </w:tcBorders>
            <w:shd w:val="clear" w:color="auto" w:fill="auto"/>
          </w:tcPr>
          <w:p w14:paraId="2CDDB0DD" w14:textId="77777777" w:rsidR="00395CB9" w:rsidRPr="00B72E41" w:rsidRDefault="00395CB9" w:rsidP="00B72E41">
            <w:pPr>
              <w:pStyle w:val="TableText"/>
              <w:jc w:val="center"/>
            </w:pPr>
            <w:r w:rsidRPr="00B72E41">
              <w:t>2.7%</w:t>
            </w:r>
          </w:p>
        </w:tc>
        <w:tc>
          <w:tcPr>
            <w:tcW w:w="1326" w:type="pct"/>
            <w:tcBorders>
              <w:top w:val="nil"/>
            </w:tcBorders>
          </w:tcPr>
          <w:p w14:paraId="4FD6CB80" w14:textId="77777777" w:rsidR="00395CB9" w:rsidRPr="00B72E41" w:rsidRDefault="00395CB9" w:rsidP="00B72E41">
            <w:pPr>
              <w:pStyle w:val="TableText"/>
              <w:jc w:val="center"/>
            </w:pPr>
            <w:r w:rsidRPr="00B72E41">
              <w:t>1.1%</w:t>
            </w:r>
          </w:p>
        </w:tc>
      </w:tr>
      <w:tr w:rsidR="00395CB9" w:rsidRPr="0007414B" w14:paraId="75A5B29C" w14:textId="77777777" w:rsidTr="00B72E41">
        <w:trPr>
          <w:cantSplit/>
        </w:trPr>
        <w:tc>
          <w:tcPr>
            <w:tcW w:w="1075" w:type="pct"/>
            <w:shd w:val="clear" w:color="auto" w:fill="auto"/>
          </w:tcPr>
          <w:p w14:paraId="71BE6BC3" w14:textId="77777777" w:rsidR="00395CB9" w:rsidRPr="00B72E41" w:rsidRDefault="00395CB9" w:rsidP="00B72E41">
            <w:pPr>
              <w:pStyle w:val="TableText"/>
            </w:pPr>
            <w:r w:rsidRPr="00B72E41">
              <w:t>Women</w:t>
            </w:r>
          </w:p>
        </w:tc>
        <w:tc>
          <w:tcPr>
            <w:tcW w:w="1273" w:type="pct"/>
            <w:shd w:val="clear" w:color="auto" w:fill="auto"/>
          </w:tcPr>
          <w:p w14:paraId="313916D8" w14:textId="77777777" w:rsidR="00395CB9" w:rsidRPr="00B72E41" w:rsidRDefault="00395CB9" w:rsidP="00B72E41">
            <w:pPr>
              <w:pStyle w:val="TableText"/>
              <w:jc w:val="center"/>
            </w:pPr>
            <w:r w:rsidRPr="00B72E41">
              <w:t>13.4%</w:t>
            </w:r>
          </w:p>
        </w:tc>
        <w:tc>
          <w:tcPr>
            <w:tcW w:w="1326" w:type="pct"/>
            <w:shd w:val="clear" w:color="auto" w:fill="auto"/>
          </w:tcPr>
          <w:p w14:paraId="762E31CF" w14:textId="77777777" w:rsidR="00395CB9" w:rsidRPr="00B72E41" w:rsidRDefault="00395CB9" w:rsidP="00B72E41">
            <w:pPr>
              <w:pStyle w:val="TableText"/>
              <w:jc w:val="center"/>
            </w:pPr>
            <w:r w:rsidRPr="00B72E41">
              <w:t>3.5%</w:t>
            </w:r>
          </w:p>
        </w:tc>
        <w:tc>
          <w:tcPr>
            <w:tcW w:w="1326" w:type="pct"/>
          </w:tcPr>
          <w:p w14:paraId="6539CE21" w14:textId="77777777" w:rsidR="00395CB9" w:rsidRPr="00B72E41" w:rsidRDefault="00395CB9" w:rsidP="00B72E41">
            <w:pPr>
              <w:pStyle w:val="TableText"/>
              <w:jc w:val="center"/>
            </w:pPr>
            <w:r w:rsidRPr="00B72E41">
              <w:t>1.8%</w:t>
            </w:r>
          </w:p>
        </w:tc>
      </w:tr>
      <w:tr w:rsidR="00395CB9" w:rsidRPr="0007414B" w14:paraId="0AFC0B9D" w14:textId="77777777" w:rsidTr="00B72E41">
        <w:trPr>
          <w:cantSplit/>
        </w:trPr>
        <w:tc>
          <w:tcPr>
            <w:tcW w:w="1075" w:type="pct"/>
            <w:shd w:val="clear" w:color="auto" w:fill="auto"/>
          </w:tcPr>
          <w:p w14:paraId="70C1F6B7" w14:textId="77777777" w:rsidR="00395CB9" w:rsidRPr="00B72E41" w:rsidRDefault="00395CB9" w:rsidP="00B72E41">
            <w:pPr>
              <w:pStyle w:val="TableText"/>
            </w:pPr>
            <w:r w:rsidRPr="00B72E41">
              <w:t>Men</w:t>
            </w:r>
          </w:p>
        </w:tc>
        <w:tc>
          <w:tcPr>
            <w:tcW w:w="1273" w:type="pct"/>
            <w:shd w:val="clear" w:color="auto" w:fill="auto"/>
          </w:tcPr>
          <w:p w14:paraId="5C22C7FC" w14:textId="77777777" w:rsidR="00395CB9" w:rsidRPr="00B72E41" w:rsidRDefault="00395CB9" w:rsidP="00B72E41">
            <w:pPr>
              <w:pStyle w:val="TableText"/>
              <w:jc w:val="center"/>
            </w:pPr>
            <w:r w:rsidRPr="00B72E41">
              <w:t>9.5%</w:t>
            </w:r>
          </w:p>
        </w:tc>
        <w:tc>
          <w:tcPr>
            <w:tcW w:w="1326" w:type="pct"/>
            <w:shd w:val="clear" w:color="auto" w:fill="auto"/>
          </w:tcPr>
          <w:p w14:paraId="3D5EF1FA" w14:textId="77777777" w:rsidR="00395CB9" w:rsidRPr="00B72E41" w:rsidRDefault="00395CB9" w:rsidP="00B72E41">
            <w:pPr>
              <w:pStyle w:val="TableText"/>
              <w:jc w:val="center"/>
            </w:pPr>
            <w:r w:rsidRPr="00B72E41">
              <w:t>1.9%</w:t>
            </w:r>
          </w:p>
        </w:tc>
        <w:tc>
          <w:tcPr>
            <w:tcW w:w="1326" w:type="pct"/>
          </w:tcPr>
          <w:p w14:paraId="7E75DF14" w14:textId="77777777" w:rsidR="00395CB9" w:rsidRPr="00B72E41" w:rsidRDefault="00395CB9" w:rsidP="00B72E41">
            <w:pPr>
              <w:pStyle w:val="TableText"/>
              <w:jc w:val="center"/>
            </w:pPr>
            <w:r w:rsidRPr="00B72E41">
              <w:t>0.2%</w:t>
            </w:r>
          </w:p>
        </w:tc>
      </w:tr>
      <w:tr w:rsidR="00395CB9" w:rsidRPr="0007414B" w14:paraId="4AD9905A" w14:textId="77777777" w:rsidTr="00B72E41">
        <w:trPr>
          <w:cantSplit/>
        </w:trPr>
        <w:tc>
          <w:tcPr>
            <w:tcW w:w="1075" w:type="pct"/>
            <w:shd w:val="clear" w:color="auto" w:fill="auto"/>
            <w:hideMark/>
          </w:tcPr>
          <w:p w14:paraId="02563791" w14:textId="77777777" w:rsidR="00395CB9" w:rsidRPr="00B72E41" w:rsidRDefault="00395CB9" w:rsidP="00B72E41">
            <w:pPr>
              <w:pStyle w:val="TableText"/>
            </w:pPr>
            <w:r w:rsidRPr="00B72E41">
              <w:t>Māori</w:t>
            </w:r>
          </w:p>
        </w:tc>
        <w:tc>
          <w:tcPr>
            <w:tcW w:w="1273" w:type="pct"/>
            <w:shd w:val="clear" w:color="auto" w:fill="auto"/>
          </w:tcPr>
          <w:p w14:paraId="409E6BA0" w14:textId="77777777" w:rsidR="00395CB9" w:rsidRPr="00B72E41" w:rsidRDefault="00395CB9" w:rsidP="00B72E41">
            <w:pPr>
              <w:pStyle w:val="TableText"/>
              <w:jc w:val="center"/>
            </w:pPr>
            <w:r w:rsidRPr="00B72E41">
              <w:t>14.6%</w:t>
            </w:r>
          </w:p>
        </w:tc>
        <w:tc>
          <w:tcPr>
            <w:tcW w:w="1326" w:type="pct"/>
            <w:shd w:val="clear" w:color="auto" w:fill="auto"/>
          </w:tcPr>
          <w:p w14:paraId="1893AA94" w14:textId="77777777" w:rsidR="00395CB9" w:rsidRPr="00B72E41" w:rsidRDefault="00395CB9" w:rsidP="00B72E41">
            <w:pPr>
              <w:pStyle w:val="TableText"/>
              <w:jc w:val="center"/>
            </w:pPr>
            <w:r w:rsidRPr="00B72E41">
              <w:t>5.8%</w:t>
            </w:r>
          </w:p>
        </w:tc>
        <w:tc>
          <w:tcPr>
            <w:tcW w:w="1326" w:type="pct"/>
          </w:tcPr>
          <w:p w14:paraId="7403A4E3" w14:textId="77777777" w:rsidR="00395CB9" w:rsidRPr="00B72E41" w:rsidRDefault="00395CB9" w:rsidP="00B72E41">
            <w:pPr>
              <w:pStyle w:val="TableText"/>
              <w:jc w:val="center"/>
            </w:pPr>
            <w:r w:rsidRPr="00B72E41">
              <w:t>2.8%</w:t>
            </w:r>
          </w:p>
        </w:tc>
      </w:tr>
      <w:tr w:rsidR="00395CB9" w:rsidRPr="0007414B" w14:paraId="3FCEDCB3" w14:textId="77777777" w:rsidTr="00B72E41">
        <w:trPr>
          <w:cantSplit/>
        </w:trPr>
        <w:tc>
          <w:tcPr>
            <w:tcW w:w="1075" w:type="pct"/>
            <w:shd w:val="clear" w:color="auto" w:fill="auto"/>
            <w:hideMark/>
          </w:tcPr>
          <w:p w14:paraId="17839827" w14:textId="77777777" w:rsidR="00395CB9" w:rsidRPr="00B72E41" w:rsidRDefault="00395CB9" w:rsidP="00B72E41">
            <w:pPr>
              <w:pStyle w:val="TableText"/>
            </w:pPr>
            <w:r w:rsidRPr="00B72E41">
              <w:t>Pacific peoples</w:t>
            </w:r>
          </w:p>
        </w:tc>
        <w:tc>
          <w:tcPr>
            <w:tcW w:w="1273" w:type="pct"/>
            <w:shd w:val="clear" w:color="auto" w:fill="auto"/>
          </w:tcPr>
          <w:p w14:paraId="2E70C046" w14:textId="77777777" w:rsidR="00395CB9" w:rsidRPr="00B72E41" w:rsidRDefault="00395CB9" w:rsidP="00B72E41">
            <w:pPr>
              <w:pStyle w:val="TableText"/>
              <w:jc w:val="center"/>
            </w:pPr>
            <w:r w:rsidRPr="00B72E41">
              <w:t>13.5%</w:t>
            </w:r>
          </w:p>
        </w:tc>
        <w:tc>
          <w:tcPr>
            <w:tcW w:w="1326" w:type="pct"/>
            <w:shd w:val="clear" w:color="auto" w:fill="auto"/>
          </w:tcPr>
          <w:p w14:paraId="368D086F" w14:textId="77777777" w:rsidR="00395CB9" w:rsidRPr="00B72E41" w:rsidRDefault="00395CB9" w:rsidP="00B72E41">
            <w:pPr>
              <w:pStyle w:val="TableText"/>
              <w:jc w:val="center"/>
            </w:pPr>
            <w:r w:rsidRPr="00B72E41">
              <w:t>9.4%</w:t>
            </w:r>
          </w:p>
        </w:tc>
        <w:tc>
          <w:tcPr>
            <w:tcW w:w="1326" w:type="pct"/>
          </w:tcPr>
          <w:p w14:paraId="5B895D58" w14:textId="77777777" w:rsidR="00395CB9" w:rsidRPr="00B72E41" w:rsidRDefault="00395CB9" w:rsidP="00B72E41">
            <w:pPr>
              <w:pStyle w:val="TableText"/>
              <w:jc w:val="center"/>
            </w:pPr>
            <w:r w:rsidRPr="00B72E41">
              <w:t>2.2%</w:t>
            </w:r>
          </w:p>
        </w:tc>
      </w:tr>
      <w:tr w:rsidR="00395CB9" w:rsidRPr="0007414B" w14:paraId="6D580C2E" w14:textId="77777777" w:rsidTr="00B72E41">
        <w:trPr>
          <w:cantSplit/>
        </w:trPr>
        <w:tc>
          <w:tcPr>
            <w:tcW w:w="1075" w:type="pct"/>
            <w:shd w:val="clear" w:color="auto" w:fill="auto"/>
            <w:hideMark/>
          </w:tcPr>
          <w:p w14:paraId="7DF58FCC" w14:textId="77777777" w:rsidR="00395CB9" w:rsidRPr="00B72E41" w:rsidRDefault="00395CB9" w:rsidP="00B72E41">
            <w:pPr>
              <w:pStyle w:val="TableText"/>
            </w:pPr>
            <w:r w:rsidRPr="00B72E41">
              <w:t>Asian</w:t>
            </w:r>
          </w:p>
        </w:tc>
        <w:tc>
          <w:tcPr>
            <w:tcW w:w="1273" w:type="pct"/>
            <w:shd w:val="clear" w:color="auto" w:fill="auto"/>
          </w:tcPr>
          <w:p w14:paraId="509A7DF8" w14:textId="77777777" w:rsidR="00395CB9" w:rsidRPr="00B72E41" w:rsidRDefault="00395CB9" w:rsidP="00B72E41">
            <w:pPr>
              <w:pStyle w:val="TableText"/>
              <w:jc w:val="center"/>
            </w:pPr>
            <w:r w:rsidRPr="00B72E41">
              <w:t>13.6%</w:t>
            </w:r>
          </w:p>
        </w:tc>
        <w:tc>
          <w:tcPr>
            <w:tcW w:w="1326" w:type="pct"/>
            <w:shd w:val="clear" w:color="auto" w:fill="auto"/>
          </w:tcPr>
          <w:p w14:paraId="51DF6C7C" w14:textId="77777777" w:rsidR="00395CB9" w:rsidRPr="00B72E41" w:rsidRDefault="00395CB9" w:rsidP="00B72E41">
            <w:pPr>
              <w:pStyle w:val="TableText"/>
              <w:jc w:val="center"/>
            </w:pPr>
            <w:r w:rsidRPr="00B72E41">
              <w:t>2.0%</w:t>
            </w:r>
          </w:p>
        </w:tc>
        <w:tc>
          <w:tcPr>
            <w:tcW w:w="1326" w:type="pct"/>
          </w:tcPr>
          <w:p w14:paraId="03519F47" w14:textId="77777777" w:rsidR="00395CB9" w:rsidRPr="00B72E41" w:rsidRDefault="00395CB9" w:rsidP="00B72E41">
            <w:pPr>
              <w:pStyle w:val="TableText"/>
              <w:jc w:val="center"/>
            </w:pPr>
            <w:r w:rsidRPr="00B72E41">
              <w:t>0.6%</w:t>
            </w:r>
          </w:p>
        </w:tc>
      </w:tr>
      <w:tr w:rsidR="00395CB9" w:rsidRPr="0007414B" w14:paraId="77D44EEC" w14:textId="77777777" w:rsidTr="00B72E41">
        <w:trPr>
          <w:cantSplit/>
        </w:trPr>
        <w:tc>
          <w:tcPr>
            <w:tcW w:w="1075" w:type="pct"/>
            <w:shd w:val="clear" w:color="auto" w:fill="auto"/>
            <w:hideMark/>
          </w:tcPr>
          <w:p w14:paraId="65D8330D" w14:textId="77777777" w:rsidR="00395CB9" w:rsidRPr="00B72E41" w:rsidRDefault="00395CB9" w:rsidP="00B72E41">
            <w:pPr>
              <w:pStyle w:val="TableText"/>
            </w:pPr>
            <w:r w:rsidRPr="00B72E41">
              <w:t>European/other</w:t>
            </w:r>
          </w:p>
        </w:tc>
        <w:tc>
          <w:tcPr>
            <w:tcW w:w="1273" w:type="pct"/>
            <w:shd w:val="clear" w:color="auto" w:fill="auto"/>
          </w:tcPr>
          <w:p w14:paraId="322B71AF" w14:textId="77777777" w:rsidR="00395CB9" w:rsidRPr="00B72E41" w:rsidRDefault="00395CB9" w:rsidP="00B72E41">
            <w:pPr>
              <w:pStyle w:val="TableText"/>
              <w:jc w:val="center"/>
            </w:pPr>
            <w:r w:rsidRPr="00B72E41">
              <w:t>10.6%</w:t>
            </w:r>
          </w:p>
        </w:tc>
        <w:tc>
          <w:tcPr>
            <w:tcW w:w="1326" w:type="pct"/>
            <w:shd w:val="clear" w:color="auto" w:fill="auto"/>
          </w:tcPr>
          <w:p w14:paraId="47B518FF" w14:textId="77777777" w:rsidR="00395CB9" w:rsidRPr="00B72E41" w:rsidRDefault="00395CB9" w:rsidP="00B72E41">
            <w:pPr>
              <w:pStyle w:val="TableText"/>
              <w:jc w:val="center"/>
            </w:pPr>
            <w:r w:rsidRPr="00B72E41">
              <w:t>2.2%</w:t>
            </w:r>
          </w:p>
        </w:tc>
        <w:tc>
          <w:tcPr>
            <w:tcW w:w="1326" w:type="pct"/>
          </w:tcPr>
          <w:p w14:paraId="098CC0FD" w14:textId="77777777" w:rsidR="00395CB9" w:rsidRPr="00B72E41" w:rsidRDefault="00395CB9" w:rsidP="00B72E41">
            <w:pPr>
              <w:pStyle w:val="TableText"/>
              <w:jc w:val="center"/>
            </w:pPr>
            <w:r w:rsidRPr="00B72E41">
              <w:t>0.9%</w:t>
            </w:r>
          </w:p>
        </w:tc>
      </w:tr>
      <w:tr w:rsidR="00395CB9" w:rsidRPr="0007414B" w14:paraId="4C08FCEB" w14:textId="77777777" w:rsidTr="00B72E41">
        <w:trPr>
          <w:cantSplit/>
        </w:trPr>
        <w:tc>
          <w:tcPr>
            <w:tcW w:w="1075" w:type="pct"/>
            <w:shd w:val="clear" w:color="auto" w:fill="auto"/>
            <w:hideMark/>
          </w:tcPr>
          <w:p w14:paraId="26E4A999" w14:textId="77777777" w:rsidR="00395CB9" w:rsidRPr="00B72E41" w:rsidRDefault="00395CB9" w:rsidP="00B72E41">
            <w:pPr>
              <w:pStyle w:val="TableText"/>
            </w:pPr>
            <w:r w:rsidRPr="00B72E41">
              <w:t>Disabled</w:t>
            </w:r>
          </w:p>
        </w:tc>
        <w:tc>
          <w:tcPr>
            <w:tcW w:w="1273" w:type="pct"/>
            <w:shd w:val="clear" w:color="auto" w:fill="auto"/>
          </w:tcPr>
          <w:p w14:paraId="2D4B21C8" w14:textId="77777777" w:rsidR="00395CB9" w:rsidRPr="00B72E41" w:rsidRDefault="00395CB9" w:rsidP="00B72E41">
            <w:pPr>
              <w:pStyle w:val="TableText"/>
              <w:jc w:val="center"/>
            </w:pPr>
            <w:r w:rsidRPr="00B72E41">
              <w:t>13.8%</w:t>
            </w:r>
          </w:p>
        </w:tc>
        <w:tc>
          <w:tcPr>
            <w:tcW w:w="1326" w:type="pct"/>
            <w:shd w:val="clear" w:color="auto" w:fill="auto"/>
          </w:tcPr>
          <w:p w14:paraId="365BCF45" w14:textId="77777777" w:rsidR="00395CB9" w:rsidRPr="00B72E41" w:rsidRDefault="00395CB9" w:rsidP="00B72E41">
            <w:pPr>
              <w:pStyle w:val="TableText"/>
              <w:jc w:val="center"/>
            </w:pPr>
            <w:r w:rsidRPr="00B72E41">
              <w:t>9.1%</w:t>
            </w:r>
          </w:p>
        </w:tc>
        <w:tc>
          <w:tcPr>
            <w:tcW w:w="1326" w:type="pct"/>
          </w:tcPr>
          <w:p w14:paraId="7B2B6D31" w14:textId="77777777" w:rsidR="00395CB9" w:rsidRPr="00B72E41" w:rsidRDefault="00395CB9" w:rsidP="00B72E41">
            <w:pPr>
              <w:pStyle w:val="TableText"/>
              <w:jc w:val="center"/>
            </w:pPr>
            <w:r w:rsidRPr="00B72E41">
              <w:t>2.2%</w:t>
            </w:r>
          </w:p>
        </w:tc>
      </w:tr>
      <w:tr w:rsidR="00395CB9" w:rsidRPr="0007414B" w14:paraId="6715EBA9" w14:textId="77777777" w:rsidTr="00B72E41">
        <w:trPr>
          <w:cantSplit/>
        </w:trPr>
        <w:tc>
          <w:tcPr>
            <w:tcW w:w="1075" w:type="pct"/>
            <w:shd w:val="clear" w:color="auto" w:fill="auto"/>
          </w:tcPr>
          <w:p w14:paraId="0FDB90A0" w14:textId="77777777" w:rsidR="00395CB9" w:rsidRPr="00B72E41" w:rsidRDefault="00395CB9" w:rsidP="00B72E41">
            <w:pPr>
              <w:pStyle w:val="TableText"/>
            </w:pPr>
            <w:r w:rsidRPr="00B72E41">
              <w:t>Non-disabled</w:t>
            </w:r>
          </w:p>
        </w:tc>
        <w:tc>
          <w:tcPr>
            <w:tcW w:w="1273" w:type="pct"/>
            <w:shd w:val="clear" w:color="auto" w:fill="auto"/>
          </w:tcPr>
          <w:p w14:paraId="75480803" w14:textId="77777777" w:rsidR="00395CB9" w:rsidRPr="00B72E41" w:rsidRDefault="00395CB9" w:rsidP="00B72E41">
            <w:pPr>
              <w:pStyle w:val="TableText"/>
              <w:jc w:val="center"/>
            </w:pPr>
            <w:r w:rsidRPr="00B72E41">
              <w:t>11.3%</w:t>
            </w:r>
          </w:p>
        </w:tc>
        <w:tc>
          <w:tcPr>
            <w:tcW w:w="1326" w:type="pct"/>
            <w:shd w:val="clear" w:color="auto" w:fill="auto"/>
          </w:tcPr>
          <w:p w14:paraId="67685CA4" w14:textId="77777777" w:rsidR="00395CB9" w:rsidRPr="00B72E41" w:rsidRDefault="00395CB9" w:rsidP="00B72E41">
            <w:pPr>
              <w:pStyle w:val="TableText"/>
              <w:jc w:val="center"/>
            </w:pPr>
            <w:r w:rsidRPr="00B72E41">
              <w:t>2.1%</w:t>
            </w:r>
          </w:p>
        </w:tc>
        <w:tc>
          <w:tcPr>
            <w:tcW w:w="1326" w:type="pct"/>
          </w:tcPr>
          <w:p w14:paraId="29B6DBAB" w14:textId="77777777" w:rsidR="00395CB9" w:rsidRPr="00B72E41" w:rsidRDefault="00395CB9" w:rsidP="00B72E41">
            <w:pPr>
              <w:pStyle w:val="TableText"/>
              <w:jc w:val="center"/>
            </w:pPr>
            <w:r w:rsidRPr="00B72E41">
              <w:t>0.9%</w:t>
            </w:r>
          </w:p>
        </w:tc>
      </w:tr>
      <w:tr w:rsidR="00395CB9" w:rsidRPr="0007414B" w14:paraId="745AB853" w14:textId="77777777" w:rsidTr="00B72E41">
        <w:trPr>
          <w:cantSplit/>
        </w:trPr>
        <w:tc>
          <w:tcPr>
            <w:tcW w:w="1075" w:type="pct"/>
            <w:shd w:val="clear" w:color="auto" w:fill="auto"/>
          </w:tcPr>
          <w:p w14:paraId="4EFEA99B" w14:textId="77777777" w:rsidR="00395CB9" w:rsidRPr="00B72E41" w:rsidRDefault="00395CB9" w:rsidP="00B72E41">
            <w:pPr>
              <w:pStyle w:val="TableText"/>
            </w:pPr>
            <w:r w:rsidRPr="00B72E41">
              <w:t>Most deprived areas</w:t>
            </w:r>
          </w:p>
        </w:tc>
        <w:tc>
          <w:tcPr>
            <w:tcW w:w="1273" w:type="pct"/>
            <w:shd w:val="clear" w:color="auto" w:fill="auto"/>
          </w:tcPr>
          <w:p w14:paraId="1ABD78C7" w14:textId="77777777" w:rsidR="00395CB9" w:rsidRPr="00B72E41" w:rsidRDefault="00395CB9" w:rsidP="00B72E41">
            <w:pPr>
              <w:pStyle w:val="TableText"/>
              <w:jc w:val="center"/>
            </w:pPr>
            <w:r w:rsidRPr="00B72E41">
              <w:t>12.9%</w:t>
            </w:r>
          </w:p>
        </w:tc>
        <w:tc>
          <w:tcPr>
            <w:tcW w:w="1326" w:type="pct"/>
            <w:shd w:val="clear" w:color="auto" w:fill="auto"/>
          </w:tcPr>
          <w:p w14:paraId="71CF191F" w14:textId="77777777" w:rsidR="00395CB9" w:rsidRPr="00B72E41" w:rsidRDefault="00395CB9" w:rsidP="00B72E41">
            <w:pPr>
              <w:pStyle w:val="TableText"/>
              <w:jc w:val="center"/>
            </w:pPr>
            <w:r w:rsidRPr="00B72E41">
              <w:t>3.8%</w:t>
            </w:r>
          </w:p>
        </w:tc>
        <w:tc>
          <w:tcPr>
            <w:tcW w:w="1326" w:type="pct"/>
          </w:tcPr>
          <w:p w14:paraId="3103A842" w14:textId="77777777" w:rsidR="00395CB9" w:rsidRPr="00B72E41" w:rsidRDefault="00395CB9" w:rsidP="00B72E41">
            <w:pPr>
              <w:pStyle w:val="TableText"/>
              <w:jc w:val="center"/>
            </w:pPr>
            <w:r w:rsidRPr="00B72E41">
              <w:t>1.8%</w:t>
            </w:r>
          </w:p>
        </w:tc>
      </w:tr>
      <w:tr w:rsidR="00395CB9" w:rsidRPr="0007414B" w14:paraId="626A28BD" w14:textId="77777777" w:rsidTr="00B72E41">
        <w:trPr>
          <w:cantSplit/>
        </w:trPr>
        <w:tc>
          <w:tcPr>
            <w:tcW w:w="1075" w:type="pct"/>
            <w:shd w:val="clear" w:color="auto" w:fill="auto"/>
          </w:tcPr>
          <w:p w14:paraId="575E4BE0" w14:textId="77777777" w:rsidR="00395CB9" w:rsidRPr="00B72E41" w:rsidRDefault="00395CB9" w:rsidP="00B72E41">
            <w:pPr>
              <w:pStyle w:val="TableText"/>
            </w:pPr>
            <w:r w:rsidRPr="00B72E41">
              <w:t>Least deprived areas</w:t>
            </w:r>
          </w:p>
        </w:tc>
        <w:tc>
          <w:tcPr>
            <w:tcW w:w="1273" w:type="pct"/>
            <w:shd w:val="clear" w:color="auto" w:fill="auto"/>
          </w:tcPr>
          <w:p w14:paraId="5791B6CD" w14:textId="77777777" w:rsidR="00395CB9" w:rsidRPr="00B72E41" w:rsidRDefault="00395CB9" w:rsidP="00B72E41">
            <w:pPr>
              <w:pStyle w:val="TableText"/>
              <w:jc w:val="center"/>
            </w:pPr>
            <w:r w:rsidRPr="00B72E41">
              <w:t>11.1%</w:t>
            </w:r>
          </w:p>
        </w:tc>
        <w:tc>
          <w:tcPr>
            <w:tcW w:w="1326" w:type="pct"/>
            <w:shd w:val="clear" w:color="auto" w:fill="auto"/>
          </w:tcPr>
          <w:p w14:paraId="0C1EBBEE" w14:textId="77777777" w:rsidR="00395CB9" w:rsidRPr="00B72E41" w:rsidRDefault="00395CB9" w:rsidP="00B72E41">
            <w:pPr>
              <w:pStyle w:val="TableText"/>
              <w:jc w:val="center"/>
            </w:pPr>
            <w:r w:rsidRPr="00B72E41">
              <w:t>1.1%</w:t>
            </w:r>
          </w:p>
        </w:tc>
        <w:tc>
          <w:tcPr>
            <w:tcW w:w="1326" w:type="pct"/>
          </w:tcPr>
          <w:p w14:paraId="121C4AB1" w14:textId="77777777" w:rsidR="00395CB9" w:rsidRPr="00B72E41" w:rsidRDefault="00395CB9" w:rsidP="00B72E41">
            <w:pPr>
              <w:pStyle w:val="TableText"/>
              <w:jc w:val="center"/>
            </w:pPr>
            <w:r w:rsidRPr="00B72E41">
              <w:t>0.7%</w:t>
            </w:r>
          </w:p>
        </w:tc>
      </w:tr>
    </w:tbl>
    <w:p w14:paraId="1DA9BC98" w14:textId="77777777" w:rsidR="00395CB9" w:rsidRPr="00B72E41" w:rsidRDefault="00395CB9" w:rsidP="00B72E41">
      <w:pPr>
        <w:pStyle w:val="Source"/>
        <w:rPr>
          <w:rStyle w:val="Hyperlink"/>
        </w:rPr>
      </w:pPr>
      <w:r w:rsidRPr="00B72E41">
        <w:t xml:space="preserve">Source: </w:t>
      </w:r>
      <w:hyperlink r:id="rId91" w:anchor="!/home" w:history="1">
        <w:r w:rsidRPr="00B72E41">
          <w:rPr>
            <w:rStyle w:val="Hyperlink"/>
          </w:rPr>
          <w:t>Manatū Hauora (2023a)</w:t>
        </w:r>
      </w:hyperlink>
    </w:p>
    <w:p w14:paraId="29339800" w14:textId="77777777" w:rsidR="00395CB9" w:rsidRPr="0007414B" w:rsidRDefault="00395CB9" w:rsidP="00395CB9">
      <w:pPr>
        <w:pStyle w:val="Heading4"/>
      </w:pPr>
      <w:r w:rsidRPr="0007414B">
        <w:t>Trust in the health system</w:t>
      </w:r>
    </w:p>
    <w:p w14:paraId="3B5B070D" w14:textId="77777777" w:rsidR="00395CB9" w:rsidRPr="0007414B" w:rsidRDefault="00395CB9" w:rsidP="00395CB9">
      <w:pPr>
        <w:rPr>
          <w:rFonts w:cs="Segoe UI"/>
          <w:lang w:eastAsia="en-NZ"/>
        </w:rPr>
      </w:pPr>
      <w:r w:rsidRPr="0007414B">
        <w:rPr>
          <w:rFonts w:cs="Segoe UI"/>
          <w:lang w:eastAsia="en-NZ"/>
        </w:rPr>
        <w:t>Stats NZ reported that</w:t>
      </w:r>
      <w:r w:rsidRPr="0007414B">
        <w:rPr>
          <w:rFonts w:cs="Segoe UI"/>
          <w:shd w:val="clear" w:color="auto" w:fill="FFFFFF"/>
        </w:rPr>
        <w:t xml:space="preserve"> in 2018</w:t>
      </w:r>
      <w:r w:rsidRPr="0007414B">
        <w:rPr>
          <w:rFonts w:cs="Segoe UI"/>
          <w:lang w:eastAsia="en-NZ"/>
        </w:rPr>
        <w:t xml:space="preserve"> the average rating for New Zealanders’ trust in the health system was </w:t>
      </w:r>
      <w:r w:rsidRPr="0007414B">
        <w:rPr>
          <w:rFonts w:cs="Segoe UI"/>
          <w:shd w:val="clear" w:color="auto" w:fill="FFFFFF"/>
        </w:rPr>
        <w:t xml:space="preserve">6.9 out of 10, where 0 is no trust and 10 is complete trust </w:t>
      </w:r>
      <w:r w:rsidRPr="0007414B">
        <w:rPr>
          <w:rFonts w:cs="Segoe UI"/>
          <w:shd w:val="clear" w:color="auto" w:fill="FFFFFF"/>
        </w:rPr>
        <w:fldChar w:fldCharType="begin"/>
      </w:r>
      <w:r>
        <w:rPr>
          <w:rFonts w:cs="Segoe UI"/>
          <w:shd w:val="clear" w:color="auto" w:fill="FFFFFF"/>
        </w:rPr>
        <w:instrText xml:space="preserve"> ADDIN EN.CITE &lt;EndNote&gt;&lt;Cite&gt;&lt;Author&gt;Stats NZ&lt;/Author&gt;&lt;Year&gt;2021&lt;/Year&gt;&lt;RecNum&gt;312&lt;/RecNum&gt;&lt;DisplayText&gt;(Stats NZ 2021e)&lt;/DisplayText&gt;&lt;record&gt;&lt;rec-number&gt;312&lt;/rec-number&gt;&lt;foreign-keys&gt;&lt;key app="EN" db-id="aaepvppzs5wtfse95vsp2wahsrtvva2vvdet" timestamp="1683256448"&gt;312&lt;/key&gt;&lt;/foreign-keys&gt;&lt;ref-type name="Web Page"&gt;12&lt;/ref-type&gt;&lt;contributors&gt;&lt;authors&gt;&lt;author&gt;Stats NZ,&lt;/author&gt;&lt;/authors&gt;&lt;/contributors&gt;&lt;titles&gt;&lt;title&gt;Wellbeing statistics: A year in review (June 2020 to March 2021 quarter)&lt;/title&gt;&lt;/titles&gt;&lt;number&gt;5 May 2023&lt;/number&gt;&lt;dates&gt;&lt;year&gt;2021&lt;/year&gt;&lt;/dates&gt;&lt;urls&gt;&lt;related-urls&gt;&lt;url&gt;www.stats.govt.nz/reports/wellbeing-statistics-a-year-in-review-june-2020-to-march-2021-quarter&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(Stats NZ 2021e)</w:t>
      </w:r>
      <w:r w:rsidRPr="0007414B">
        <w:rPr>
          <w:rFonts w:cs="Segoe UI"/>
          <w:shd w:val="clear" w:color="auto" w:fill="FFFFFF"/>
        </w:rPr>
        <w:fldChar w:fldCharType="end"/>
      </w:r>
      <w:r w:rsidRPr="0007414B">
        <w:rPr>
          <w:rFonts w:cs="Segoe UI"/>
          <w:shd w:val="clear" w:color="auto" w:fill="FFFFFF"/>
        </w:rPr>
        <w:t xml:space="preserve">. The average rating increased to 7.4 out of 10 at the start of the COVID-19 pandemic in the June 2020 quarter </w:t>
      </w:r>
      <w:r w:rsidRPr="0007414B">
        <w:rPr>
          <w:rFonts w:cs="Segoe UI"/>
          <w:shd w:val="clear" w:color="auto" w:fill="FFFFFF"/>
        </w:rPr>
        <w:fldChar w:fldCharType="begin"/>
      </w:r>
      <w:r>
        <w:rPr>
          <w:rFonts w:cs="Segoe UI"/>
          <w:shd w:val="clear" w:color="auto" w:fill="FFFFFF"/>
        </w:rPr>
        <w:instrText xml:space="preserve"> ADDIN EN.CITE &lt;EndNote&gt;&lt;Cite&gt;&lt;Author&gt;Stats NZ&lt;/Author&gt;&lt;Year&gt;2021&lt;/Year&gt;&lt;RecNum&gt;312&lt;/RecNum&gt;&lt;DisplayText&gt;(Stats NZ 2021e)&lt;/DisplayText&gt;&lt;record&gt;&lt;rec-number&gt;312&lt;/rec-number&gt;&lt;foreign-keys&gt;&lt;key app="EN" db-id="aaepvppzs5wtfse95vsp2wahsrtvva2vvdet" timestamp="1683256448"&gt;312&lt;/key&gt;&lt;/foreign-keys&gt;&lt;ref-type name="Web Page"&gt;12&lt;/ref-type&gt;&lt;contributors&gt;&lt;authors&gt;&lt;author&gt;Stats NZ,&lt;/author&gt;&lt;/authors&gt;&lt;/contributors&gt;&lt;titles&gt;&lt;title&gt;Wellbeing statistics: A year in review (June 2020 to March 2021 quarter)&lt;/title&gt;&lt;/titles&gt;&lt;number&gt;5 May 2023&lt;/number&gt;&lt;dates&gt;&lt;year&gt;2021&lt;/year&gt;&lt;/dates&gt;&lt;urls&gt;&lt;related-urls&gt;&lt;url&gt;www.stats.govt.nz/reports/wellbeing-statistics-a-year-in-review-june-2020-to-march-2021-quarter&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(Stats NZ 2021e)</w:t>
      </w:r>
      <w:r w:rsidRPr="0007414B">
        <w:rPr>
          <w:rFonts w:cs="Segoe UI"/>
          <w:shd w:val="clear" w:color="auto" w:fill="FFFFFF"/>
        </w:rPr>
        <w:fldChar w:fldCharType="end"/>
      </w:r>
      <w:r w:rsidRPr="0007414B">
        <w:rPr>
          <w:rFonts w:cs="Segoe UI"/>
          <w:shd w:val="clear" w:color="auto" w:fill="FFFFFF"/>
        </w:rPr>
        <w:t>, but steadily decreased from that time to reach a new average rating of 6.6 out of 10 by August 2021 (the latest available data</w:t>
      </w:r>
      <w:r>
        <w:rPr>
          <w:rFonts w:cs="Segoe UI"/>
          <w:shd w:val="clear" w:color="auto" w:fill="FFFFFF"/>
        </w:rPr>
        <w:t>;</w:t>
      </w:r>
      <w:r w:rsidRPr="0007414B">
        <w:rPr>
          <w:rFonts w:cs="Segoe UI"/>
          <w:shd w:val="clear" w:color="auto" w:fill="FFFFFF"/>
        </w:rPr>
        <w:t xml:space="preserve"> </w:t>
      </w:r>
      <w:r w:rsidRPr="0007414B">
        <w:rPr>
          <w:rFonts w:cs="Segoe UI"/>
          <w:shd w:val="clear" w:color="auto" w:fill="FFFFFF"/>
        </w:rPr>
        <w:fldChar w:fldCharType="begin"/>
      </w:r>
      <w:r>
        <w:rPr>
          <w:rFonts w:cs="Segoe UI"/>
          <w:shd w:val="clear" w:color="auto" w:fill="FFFFFF"/>
        </w:rPr>
        <w:instrText xml:space="preserve"> ADDIN EN.CITE &lt;EndNote&gt;&lt;Cite&gt;&lt;Author&gt;Stats NZ&lt;/Author&gt;&lt;Year&gt;2022&lt;/Year&gt;&lt;RecNum&gt;313&lt;/RecNum&gt;&lt;DisplayText&gt;(Stats NZ 2022g)&lt;/DisplayText&gt;&lt;record&gt;&lt;rec-number&gt;313&lt;/rec-number&gt;&lt;foreign-keys&gt;&lt;key app="EN" db-id="aaepvppzs5wtfse95vsp2wahsrtvva2vvdet" timestamp="1683256579"&gt;313&lt;/key&gt;&lt;/foreign-keys&gt;&lt;ref-type name="Web Page"&gt;12&lt;/ref-type&gt;&lt;contributors&gt;&lt;authors&gt;&lt;author&gt;Stats NZ,&lt;/author&gt;&lt;/authors&gt;&lt;/contributors&gt;&lt;titles&gt;&lt;title&gt;Wellbeing statistics: 2021&lt;/title&gt;&lt;/titles&gt;&lt;number&gt;5 May 2023&lt;/number&gt;&lt;dates&gt;&lt;year&gt;2022&lt;/year&gt;&lt;/dates&gt;&lt;urls&gt;&lt;related-urls&gt;&lt;url&gt;www.stats.govt.nz/information-releases/wellbeing-statistics-2021/&lt;/url&gt;&lt;/related-urls&gt;&lt;/urls&gt;&lt;/record&gt;&lt;/Cite&gt;&lt;/EndNote&gt;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Stats NZ 2022g)</w:t>
      </w:r>
      <w:r w:rsidRPr="0007414B">
        <w:rPr>
          <w:rFonts w:cs="Segoe UI"/>
          <w:shd w:val="clear" w:color="auto" w:fill="FFFFFF"/>
        </w:rPr>
        <w:fldChar w:fldCharType="end"/>
      </w:r>
      <w:r w:rsidRPr="0007414B">
        <w:rPr>
          <w:rFonts w:cs="Segoe UI"/>
          <w:shd w:val="clear" w:color="auto" w:fill="FFFFFF"/>
        </w:rPr>
        <w:t>.</w:t>
      </w:r>
      <w:r w:rsidRPr="0007414B">
        <w:rPr>
          <w:rFonts w:cs="Segoe UI"/>
          <w:lang w:eastAsia="en-NZ"/>
        </w:rPr>
        <w:t xml:space="preserve"> </w:t>
      </w:r>
    </w:p>
    <w:p w14:paraId="2E2A4967" w14:textId="77777777" w:rsidR="00395CB9" w:rsidRPr="0007414B" w:rsidRDefault="00395CB9" w:rsidP="00395CB9">
      <w:pPr>
        <w:rPr>
          <w:rFonts w:cs="Segoe UI"/>
          <w:szCs w:val="21"/>
          <w:lang w:eastAsia="en-NZ"/>
        </w:rPr>
      </w:pPr>
    </w:p>
    <w:p w14:paraId="274EB96E" w14:textId="3AD8A173" w:rsidR="00395CB9" w:rsidRPr="0007414B" w:rsidRDefault="00395CB9" w:rsidP="00395CB9">
      <w:pPr>
        <w:rPr>
          <w:rFonts w:cs="Segoe UI"/>
          <w:lang w:eastAsia="en-NZ"/>
        </w:rPr>
      </w:pPr>
      <w:r w:rsidRPr="0007414B">
        <w:rPr>
          <w:rFonts w:cs="Segoe UI"/>
          <w:lang w:eastAsia="en-NZ"/>
        </w:rPr>
        <w:fldChar w:fldCharType="begin"/>
      </w:r>
      <w:r w:rsidRPr="0007414B">
        <w:rPr>
          <w:rFonts w:cs="Segoe UI"/>
          <w:lang w:eastAsia="en-NZ"/>
        </w:rPr>
        <w:instrText xml:space="preserve"> REF _Ref133495974 \h  \* MERGEFORMAT </w:instrText>
      </w:r>
      <w:r w:rsidRPr="0007414B">
        <w:rPr>
          <w:rFonts w:cs="Segoe UI"/>
          <w:lang w:eastAsia="en-NZ"/>
        </w:rPr>
      </w:r>
      <w:r w:rsidRPr="0007414B">
        <w:rPr>
          <w:rFonts w:cs="Segoe UI"/>
          <w:lang w:eastAsia="en-NZ"/>
        </w:rPr>
        <w:fldChar w:fldCharType="separate"/>
      </w:r>
      <w:r w:rsidR="00BE208D" w:rsidRPr="00BE208D">
        <w:rPr>
          <w:rFonts w:cs="Segoe UI"/>
        </w:rPr>
        <w:t>Figure 29</w:t>
      </w:r>
      <w:r w:rsidRPr="0007414B">
        <w:rPr>
          <w:rFonts w:cs="Segoe UI"/>
          <w:lang w:eastAsia="en-NZ"/>
        </w:rPr>
        <w:fldChar w:fldCharType="end"/>
      </w:r>
      <w:r w:rsidRPr="0007414B">
        <w:rPr>
          <w:rFonts w:cs="Segoe UI"/>
          <w:lang w:eastAsia="en-NZ"/>
        </w:rPr>
        <w:t xml:space="preserve"> shows that</w:t>
      </w:r>
      <w:r>
        <w:rPr>
          <w:rFonts w:cs="Segoe UI"/>
          <w:lang w:eastAsia="en-NZ"/>
        </w:rPr>
        <w:t xml:space="preserve">, </w:t>
      </w:r>
      <w:r w:rsidRPr="0007414B">
        <w:rPr>
          <w:rFonts w:cs="Segoe UI"/>
          <w:lang w:eastAsia="en-NZ"/>
        </w:rPr>
        <w:t>according to the 2021 General Social Survey</w:t>
      </w:r>
      <w:r>
        <w:rPr>
          <w:rFonts w:cs="Segoe UI"/>
          <w:lang w:eastAsia="en-NZ"/>
        </w:rPr>
        <w:t>,</w:t>
      </w:r>
      <w:r w:rsidRPr="0007414B">
        <w:rPr>
          <w:rFonts w:cs="Segoe UI"/>
          <w:lang w:eastAsia="en-NZ"/>
        </w:rPr>
        <w:t xml:space="preserve"> more than 1 in</w:t>
      </w:r>
      <w:r w:rsidRPr="0007414B" w:rsidDel="00243B0C">
        <w:rPr>
          <w:rFonts w:cs="Segoe UI"/>
          <w:lang w:eastAsia="en-NZ"/>
        </w:rPr>
        <w:t xml:space="preserve"> </w:t>
      </w:r>
      <w:r w:rsidRPr="0007414B">
        <w:rPr>
          <w:rFonts w:cs="Segoe UI"/>
          <w:lang w:eastAsia="en-NZ"/>
        </w:rPr>
        <w:t>4 Māori (27.4%) had low trust in the health system</w:t>
      </w:r>
      <w:r w:rsidRPr="0007414B" w:rsidDel="00A61426">
        <w:rPr>
          <w:rFonts w:cs="Segoe UI"/>
          <w:lang w:eastAsia="en-NZ"/>
        </w:rPr>
        <w:t xml:space="preserve"> </w:t>
      </w:r>
      <w:r>
        <w:rPr>
          <w:rFonts w:cs="Segoe UI"/>
          <w:lang w:eastAsia="en-NZ"/>
        </w:rPr>
        <w:t xml:space="preserve">(‘low trust’ = a </w:t>
      </w:r>
      <w:r w:rsidRPr="0007414B">
        <w:rPr>
          <w:rFonts w:cs="Segoe UI"/>
          <w:lang w:eastAsia="en-NZ"/>
        </w:rPr>
        <w:t>rating of 0 to 4 out of 10</w:t>
      </w:r>
      <w:r>
        <w:rPr>
          <w:rFonts w:cs="Segoe UI"/>
          <w:lang w:eastAsia="en-NZ"/>
        </w:rPr>
        <w:t>)</w:t>
      </w:r>
      <w:r w:rsidRPr="0007414B">
        <w:rPr>
          <w:rFonts w:cs="Segoe UI"/>
          <w:lang w:eastAsia="en-NZ"/>
        </w:rPr>
        <w:t>. Among other population groups, a smaller percentage had low trust: 18.1% of the European/other population, 10.3% of Pacific peoples</w:t>
      </w:r>
      <w:r w:rsidRPr="0007414B" w:rsidDel="00A61426">
        <w:rPr>
          <w:rFonts w:cs="Segoe UI"/>
          <w:lang w:eastAsia="en-NZ"/>
        </w:rPr>
        <w:t xml:space="preserve"> </w:t>
      </w:r>
      <w:r w:rsidRPr="0007414B">
        <w:rPr>
          <w:rFonts w:cs="Segoe UI"/>
          <w:lang w:eastAsia="en-NZ"/>
        </w:rPr>
        <w:t xml:space="preserve">and 9.8% of Asian peoples. </w:t>
      </w:r>
    </w:p>
    <w:p w14:paraId="122C6F9B" w14:textId="77777777" w:rsidR="00395CB9" w:rsidRPr="0007414B" w:rsidRDefault="00395CB9" w:rsidP="00395CB9">
      <w:pPr>
        <w:rPr>
          <w:rFonts w:cs="Segoe UI"/>
          <w:szCs w:val="21"/>
          <w:lang w:eastAsia="en-NZ"/>
        </w:rPr>
      </w:pPr>
    </w:p>
    <w:p w14:paraId="4DC23B17" w14:textId="77777777" w:rsidR="00395CB9" w:rsidRPr="0007414B" w:rsidRDefault="00395CB9" w:rsidP="00395CB9">
      <w:pPr>
        <w:rPr>
          <w:rFonts w:cs="Segoe UI"/>
          <w:lang w:eastAsia="en-NZ"/>
        </w:rPr>
      </w:pPr>
      <w:r w:rsidRPr="0007414B">
        <w:rPr>
          <w:rFonts w:cs="Segoe UI"/>
          <w:lang w:eastAsia="en-NZ"/>
        </w:rPr>
        <w:t xml:space="preserve">Pacific </w:t>
      </w:r>
      <w:r>
        <w:rPr>
          <w:rFonts w:cs="Segoe UI"/>
          <w:lang w:eastAsia="en-NZ"/>
        </w:rPr>
        <w:t>(30.2%)</w:t>
      </w:r>
      <w:r w:rsidRPr="0007414B" w:rsidDel="00F1350C">
        <w:rPr>
          <w:rFonts w:cs="Segoe UI"/>
          <w:lang w:eastAsia="en-NZ"/>
        </w:rPr>
        <w:t xml:space="preserve"> </w:t>
      </w:r>
      <w:r w:rsidRPr="0007414B">
        <w:rPr>
          <w:rFonts w:cs="Segoe UI"/>
          <w:lang w:eastAsia="en-NZ"/>
        </w:rPr>
        <w:t xml:space="preserve">and Asian populations </w:t>
      </w:r>
      <w:r>
        <w:rPr>
          <w:rFonts w:cs="Segoe UI"/>
          <w:lang w:eastAsia="en-NZ"/>
        </w:rPr>
        <w:t>(30.2%)</w:t>
      </w:r>
      <w:r w:rsidRPr="0007414B">
        <w:rPr>
          <w:rFonts w:cs="Segoe UI"/>
          <w:lang w:eastAsia="en-NZ"/>
        </w:rPr>
        <w:t xml:space="preserve"> were the most likely to have high trust in the health system</w:t>
      </w:r>
      <w:r>
        <w:rPr>
          <w:rFonts w:cs="Segoe UI"/>
          <w:lang w:eastAsia="en-NZ"/>
        </w:rPr>
        <w:t xml:space="preserve"> (‘high trust’ =</w:t>
      </w:r>
      <w:r w:rsidRPr="0007414B">
        <w:rPr>
          <w:rFonts w:cs="Segoe UI"/>
          <w:lang w:eastAsia="en-NZ"/>
        </w:rPr>
        <w:t xml:space="preserve"> a rating </w:t>
      </w:r>
      <w:r>
        <w:rPr>
          <w:rFonts w:cs="Segoe UI"/>
          <w:lang w:eastAsia="en-NZ"/>
        </w:rPr>
        <w:t xml:space="preserve">of </w:t>
      </w:r>
      <w:r w:rsidRPr="0007414B">
        <w:rPr>
          <w:rFonts w:cs="Segoe UI"/>
          <w:lang w:eastAsia="en-NZ"/>
        </w:rPr>
        <w:t>9 or 10 out of 10</w:t>
      </w:r>
      <w:r>
        <w:rPr>
          <w:rFonts w:cs="Segoe UI"/>
          <w:lang w:eastAsia="en-NZ"/>
        </w:rPr>
        <w:t>)</w:t>
      </w:r>
      <w:r w:rsidRPr="0007414B">
        <w:rPr>
          <w:rFonts w:cs="Segoe UI"/>
          <w:lang w:eastAsia="en-NZ"/>
        </w:rPr>
        <w:t xml:space="preserve">. </w:t>
      </w:r>
    </w:p>
    <w:p w14:paraId="2F61BA85" w14:textId="77777777" w:rsidR="00395CB9" w:rsidRPr="0007414B" w:rsidRDefault="00395CB9" w:rsidP="00395CB9">
      <w:pPr>
        <w:rPr>
          <w:rFonts w:cs="Segoe UI"/>
          <w:color w:val="333333"/>
          <w:sz w:val="20"/>
          <w:lang w:eastAsia="en-NZ"/>
        </w:rPr>
      </w:pPr>
    </w:p>
    <w:p w14:paraId="533D6000" w14:textId="4D8BB3AD" w:rsidR="00395CB9" w:rsidRPr="0007414B" w:rsidRDefault="00395CB9" w:rsidP="00B72E41">
      <w:pPr>
        <w:pStyle w:val="Figure"/>
      </w:pPr>
      <w:bookmarkStart w:id="152" w:name="_Ref133495974"/>
      <w:bookmarkStart w:id="153" w:name="_Toc138326971"/>
      <w:bookmarkStart w:id="154" w:name="_Toc138409952"/>
      <w:r>
        <w:lastRenderedPageBreak/>
        <w:t xml:space="preserve">Figure </w:t>
      </w:r>
      <w:fldSimple w:instr=" SEQ Figure \* ARABIC ">
        <w:r w:rsidR="00BE208D">
          <w:rPr>
            <w:noProof/>
          </w:rPr>
          <w:t>29</w:t>
        </w:r>
      </w:fldSimple>
      <w:bookmarkEnd w:id="152"/>
      <w:r>
        <w:t>: Level of trust in the health system, by ethnic group, 2021</w:t>
      </w:r>
      <w:bookmarkEnd w:id="153"/>
      <w:bookmarkEnd w:id="154"/>
    </w:p>
    <w:p w14:paraId="7498B81D" w14:textId="77777777" w:rsidR="00395CB9" w:rsidRPr="0007414B" w:rsidRDefault="00395CB9" w:rsidP="00395CB9">
      <w:r w:rsidRPr="0007414B">
        <w:rPr>
          <w:noProof/>
        </w:rPr>
        <w:drawing>
          <wp:inline distT="0" distB="0" distL="0" distR="0" wp14:anchorId="1E85A810" wp14:editId="1E96A8FA">
            <wp:extent cx="5110385" cy="2284741"/>
            <wp:effectExtent l="0" t="0" r="0" b="1270"/>
            <wp:docPr id="1823296346" name="Picture 1823296346" descr="A bar chart showing trust in the health system by ethnic group in 2021. For the European/other ethnic group, 18.1% had low trust and 18.2% had high trust. For the Asian ethnic group, 9.8% had low trust and 30.2% had high trust. For the Pacific peoples ethnic group, 10.3% had low trust and 30.2% had high trust. For the Māori ethnic group, 27.4% had low trust and 17.4% had high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6" name="Picture 1823296346" descr="A bar chart showing trust in the health system by ethnic group in 2021. For the European/other ethnic group, 18.1% had low trust and 18.2% had high trust. For the Asian ethnic group, 9.8% had low trust and 30.2% had high trust. For the Pacific peoples ethnic group, 10.3% had low trust and 30.2% had high trust. For the Māori ethnic group, 27.4% had low trust and 17.4% had high trust."/>
                    <pic:cNvPicPr/>
                  </pic:nvPicPr>
                  <pic:blipFill rotWithShape="1">
                    <a:blip r:embed="rId92"/>
                    <a:srcRect t="10585"/>
                    <a:stretch/>
                  </pic:blipFill>
                  <pic:spPr bwMode="auto">
                    <a:xfrm>
                      <a:off x="0" y="0"/>
                      <a:ext cx="5124877" cy="2291220"/>
                    </a:xfrm>
                    <a:prstGeom prst="rect">
                      <a:avLst/>
                    </a:prstGeom>
                    <a:ln>
                      <a:noFill/>
                    </a:ln>
                    <a:extLst>
                      <a:ext uri="{53640926-AAD7-44D8-BBD7-CCE9431645EC}">
                        <a14:shadowObscured xmlns:a14="http://schemas.microsoft.com/office/drawing/2010/main"/>
                      </a:ext>
                    </a:extLst>
                  </pic:spPr>
                </pic:pic>
              </a:graphicData>
            </a:graphic>
          </wp:inline>
        </w:drawing>
      </w:r>
    </w:p>
    <w:p w14:paraId="21DC21C1" w14:textId="77777777" w:rsidR="00395CB9" w:rsidRPr="00B72E41" w:rsidRDefault="00395CB9" w:rsidP="00B72E41">
      <w:pPr>
        <w:pStyle w:val="Note"/>
      </w:pPr>
      <w:r w:rsidRPr="00B72E41">
        <w:t>Note: ‘Low trust’ = a rating of 0–4 out of 10. ‘High trust’ = a rating of 9 or 10 out of 10.</w:t>
      </w:r>
    </w:p>
    <w:p w14:paraId="1507AE46" w14:textId="77777777" w:rsidR="00395CB9" w:rsidRPr="00B72E41" w:rsidRDefault="00395CB9" w:rsidP="00B72E41">
      <w:pPr>
        <w:pStyle w:val="Source"/>
      </w:pPr>
      <w:r w:rsidRPr="00B72E41">
        <w:t xml:space="preserve">Source: </w:t>
      </w:r>
      <w:hyperlink r:id="rId93" w:history="1">
        <w:r w:rsidRPr="00B72E41">
          <w:rPr>
            <w:rStyle w:val="Hyperlink"/>
          </w:rPr>
          <w:t>Stats NZ (2022g)</w:t>
        </w:r>
      </w:hyperlink>
    </w:p>
    <w:p w14:paraId="67FC98A0" w14:textId="77777777" w:rsidR="00395CB9" w:rsidRPr="0007414B" w:rsidRDefault="00395CB9" w:rsidP="00B72E41">
      <w:pPr>
        <w:pStyle w:val="Heading3"/>
      </w:pPr>
      <w:r w:rsidRPr="0007414B">
        <w:t>Immunisation</w:t>
      </w:r>
    </w:p>
    <w:p w14:paraId="60783267" w14:textId="77777777" w:rsidR="00395CB9" w:rsidRPr="0007414B" w:rsidRDefault="00395CB9" w:rsidP="00395CB9">
      <w:pPr>
        <w:rPr>
          <w:rFonts w:cs="Segoe UI"/>
          <w:lang w:eastAsia="en-NZ"/>
        </w:rPr>
      </w:pPr>
      <w:r w:rsidRPr="0007414B">
        <w:rPr>
          <w:rFonts w:cs="Segoe UI"/>
          <w:shd w:val="clear" w:color="auto" w:fill="FFFFFF"/>
        </w:rPr>
        <w:t xml:space="preserve">Immunisation is a way of preventing infectious diseases. Vaccinations are available for babies, children and adults to protect them against serious and preventable diseases </w:t>
      </w:r>
      <w:r w:rsidRPr="0007414B">
        <w:rPr>
          <w:rFonts w:cs="Segoe UI"/>
          <w:shd w:val="clear" w:color="auto" w:fill="FFFFFF"/>
        </w:rPr>
        <w:fldChar w:fldCharType="begin"/>
      </w:r>
      <w:r>
        <w:rPr>
          <w:rFonts w:cs="Segoe UI"/>
          <w:shd w:val="clear" w:color="auto" w:fill="FFFFFF"/>
        </w:rPr>
        <w:instrText xml:space="preserve"> ADDIN EN.CITE &lt;EndNote&gt;&lt;Cite&gt;&lt;Author&gt;Manatū Hauora&lt;/Author&gt;&lt;Year&gt;2023&lt;/Year&gt;&lt;RecNum&gt;314&lt;/RecNum&gt;&lt;DisplayText&gt;(Manatū Hauora 2023g)&lt;/DisplayText&gt;&lt;record&gt;&lt;rec-number&gt;314&lt;/rec-number&gt;&lt;foreign-keys&gt;&lt;key app="EN" db-id="aaepvppzs5wtfse95vsp2wahsrtvva2vvdet" timestamp="1683256700"&gt;314&lt;/key&gt;&lt;/foreign-keys&gt;&lt;ref-type name="Web Page"&gt;12&lt;/ref-type&gt;&lt;contributors&gt;&lt;authors&gt;&lt;author&gt;&lt;style face="normal" font="default" size="100%"&gt;Manat&lt;/style&gt;&lt;style face="normal" font="default" charset="238" size="100%"&gt;ū Hauora,&lt;/style&gt;&lt;/author&gt;&lt;/authors&gt;&lt;/contributors&gt;&lt;titles&gt;&lt;title&gt;Immunisation&lt;/title&gt;&lt;/titles&gt;&lt;number&gt;5 May 2023&lt;/number&gt;&lt;dates&gt;&lt;year&gt;2023&lt;/year&gt;&lt;/dates&gt;&lt;urls&gt;&lt;related-urls&gt;&lt;url&gt;www.health.govt.nz/your-health/healthy-living/immunisation&lt;/url&gt;&lt;/related-urls&gt;&lt;/urls&gt;&lt;/record&gt;&lt;/Cite&gt;&lt;/EndNote&gt;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(Manatū Hauora 2023g)</w:t>
      </w:r>
      <w:r w:rsidRPr="0007414B">
        <w:rPr>
          <w:rFonts w:cs="Segoe UI"/>
          <w:shd w:val="clear" w:color="auto" w:fill="FFFFFF"/>
        </w:rPr>
        <w:fldChar w:fldCharType="end"/>
      </w:r>
      <w:r w:rsidRPr="0007414B">
        <w:rPr>
          <w:rFonts w:cs="Segoe UI"/>
          <w:shd w:val="clear" w:color="auto" w:fill="FFFFFF"/>
        </w:rPr>
        <w:t>.</w:t>
      </w:r>
      <w:r w:rsidRPr="0007414B">
        <w:rPr>
          <w:rFonts w:cs="Segoe UI"/>
          <w:color w:val="333333"/>
          <w:lang w:eastAsia="en-NZ"/>
        </w:rPr>
        <w:t> </w:t>
      </w:r>
      <w:r w:rsidRPr="0007414B">
        <w:rPr>
          <w:rFonts w:cs="Segoe UI"/>
          <w:lang w:eastAsia="en-NZ"/>
        </w:rPr>
        <w:t>The </w:t>
      </w:r>
      <w:hyperlink r:id="rId94" w:tgtFrame="_blank" w:history="1">
        <w:r w:rsidRPr="0007414B">
          <w:rPr>
            <w:rFonts w:cs="Segoe UI"/>
            <w:lang w:eastAsia="en-NZ"/>
          </w:rPr>
          <w:t>National Immunisation Schedule</w:t>
        </w:r>
      </w:hyperlink>
      <w:r w:rsidRPr="0007414B">
        <w:rPr>
          <w:rFonts w:cs="Segoe UI"/>
          <w:lang w:eastAsia="en-NZ"/>
        </w:rPr>
        <w:t xml:space="preserve"> lists the vaccines that are offered free to babies, children and adolescents, and adults </w:t>
      </w:r>
      <w:r w:rsidRPr="0007414B">
        <w:rPr>
          <w:rFonts w:cs="Segoe UI"/>
          <w:lang w:eastAsia="en-NZ"/>
        </w:rPr>
        <w:fldChar w:fldCharType="begin"/>
      </w:r>
      <w:r w:rsidRPr="0007414B">
        <w:rPr>
          <w:rFonts w:cs="Segoe UI"/>
          <w:lang w:eastAsia="en-NZ"/>
        </w:rPr>
        <w:instrText xml:space="preserve"> ADDIN EN.CITE &lt;EndNote&gt;&lt;Cite&gt;&lt;Author&gt;Te Whatu Ora&lt;/Author&gt;&lt;Year&gt;2023&lt;/Year&gt;&lt;RecNum&gt;315&lt;/RecNum&gt;&lt;DisplayText&gt;(Te Whatu Ora 2023j)&lt;/DisplayText&gt;&lt;record&gt;&lt;rec-number&gt;315&lt;/rec-number&gt;&lt;foreign-keys&gt;&lt;key app="EN" db-id="aaepvppzs5wtfse95vsp2wahsrtvva2vvdet" timestamp="1683256820"&gt;315&lt;/key&gt;&lt;/foreign-keys&gt;&lt;ref-type name="Web Page"&gt;12&lt;/ref-type&gt;&lt;contributors&gt;&lt;authors&gt;&lt;author&gt;Te Whatu Ora,&lt;/author&gt;&lt;/authors&gt;&lt;/contributors&gt;&lt;titles&gt;&lt;title&gt;The National Immunisation Schedule - HE1308&lt;/title&gt;&lt;/titles&gt;&lt;number&gt;5 May 2023&lt;/number&gt;&lt;dates&gt;&lt;year&gt;2023&lt;/year&gt;&lt;/dates&gt;&lt;urls&gt;&lt;related-urls&gt;&lt;url&gt;https://healthed.govt.nz/products/the-national-immunisation-schedule&lt;/url&gt;&lt;/related-urls&gt;&lt;/urls&gt;&lt;/record&gt;&lt;/Cite&gt;&lt;/EndNote&gt;</w:instrText>
      </w:r>
      <w:r w:rsidRPr="0007414B">
        <w:rPr>
          <w:rFonts w:cs="Segoe UI"/>
          <w:lang w:eastAsia="en-NZ"/>
        </w:rPr>
        <w:fldChar w:fldCharType="separate"/>
      </w:r>
      <w:r w:rsidRPr="0007414B">
        <w:rPr>
          <w:rFonts w:cs="Segoe UI"/>
          <w:lang w:eastAsia="en-NZ"/>
        </w:rPr>
        <w:t>(Te Whatu Ora 2023j)</w:t>
      </w:r>
      <w:r w:rsidRPr="0007414B">
        <w:rPr>
          <w:rFonts w:cs="Segoe UI"/>
          <w:lang w:eastAsia="en-NZ"/>
        </w:rPr>
        <w:fldChar w:fldCharType="end"/>
      </w:r>
      <w:r w:rsidRPr="0007414B">
        <w:rPr>
          <w:rFonts w:cs="Segoe UI"/>
          <w:lang w:eastAsia="en-NZ"/>
        </w:rPr>
        <w:t>. It also states</w:t>
      </w:r>
      <w:r w:rsidRPr="0007414B" w:rsidDel="006B148E">
        <w:rPr>
          <w:rFonts w:cs="Segoe UI"/>
          <w:lang w:eastAsia="en-NZ"/>
        </w:rPr>
        <w:t xml:space="preserve"> the</w:t>
      </w:r>
      <w:r w:rsidRPr="0007414B">
        <w:rPr>
          <w:rFonts w:cs="Segoe UI"/>
          <w:lang w:eastAsia="en-NZ"/>
        </w:rPr>
        <w:t xml:space="preserve"> ages at which each vaccine should be given. </w:t>
      </w:r>
    </w:p>
    <w:p w14:paraId="704E7EB7" w14:textId="77777777" w:rsidR="00395CB9" w:rsidRPr="0007414B" w:rsidRDefault="00395CB9" w:rsidP="00395CB9">
      <w:pPr>
        <w:pStyle w:val="Heading4"/>
      </w:pPr>
      <w:r w:rsidRPr="0007414B">
        <w:t xml:space="preserve">Childhood immunisation </w:t>
      </w:r>
    </w:p>
    <w:p w14:paraId="0E602799" w14:textId="77777777" w:rsidR="00395CB9" w:rsidRPr="0007414B" w:rsidRDefault="00395CB9" w:rsidP="00395CB9">
      <w:pPr>
        <w:rPr>
          <w:rFonts w:cs="Segoe UI"/>
          <w:lang w:eastAsia="en-NZ"/>
        </w:rPr>
      </w:pPr>
      <w:r w:rsidRPr="0007414B">
        <w:rPr>
          <w:rFonts w:cs="Segoe UI"/>
          <w:color w:val="000000" w:themeColor="text1"/>
          <w:lang w:eastAsia="en-NZ"/>
        </w:rPr>
        <w:t>Immunisation coverage for childhood immunisation is measured at milestone ages according to the National Immunisation Schedule. Here we report on the milestone ages of 8 months, 24 months (2 years) and 5 years, using National Immunisation Register</w:t>
      </w:r>
      <w:r w:rsidRPr="0007414B" w:rsidDel="006B148E">
        <w:rPr>
          <w:rFonts w:cs="Segoe UI"/>
          <w:color w:val="000000" w:themeColor="text1"/>
          <w:lang w:eastAsia="en-NZ"/>
        </w:rPr>
        <w:t xml:space="preserve"> </w:t>
      </w:r>
      <w:r w:rsidRPr="0007414B">
        <w:rPr>
          <w:rFonts w:cs="Segoe UI"/>
          <w:color w:val="000000" w:themeColor="text1"/>
          <w:lang w:eastAsia="en-NZ"/>
        </w:rPr>
        <w:t xml:space="preserve">data. This data is reported quarterly, with an expectation of 95% coverage </w:t>
      </w:r>
      <w:r w:rsidRPr="0007414B">
        <w:rPr>
          <w:rFonts w:cs="Segoe UI"/>
          <w:color w:val="000000" w:themeColor="text1"/>
          <w:lang w:eastAsia="en-NZ"/>
        </w:rPr>
        <w:fldChar w:fldCharType="begin"/>
      </w:r>
      <w:r>
        <w:rPr>
          <w:rFonts w:cs="Segoe UI"/>
          <w:color w:val="000000" w:themeColor="text1"/>
          <w:lang w:eastAsia="en-NZ"/>
        </w:rPr>
        <w:instrText xml:space="preserve"> ADDIN EN.CITE &lt;EndNote&gt;&lt;Cite&gt;&lt;Author&gt;Manatū Hauora&lt;/Author&gt;&lt;Year&gt;2023&lt;/Year&gt;&lt;RecNum&gt;358&lt;/RecNum&gt;&lt;DisplayText&gt;(Manatū Hauora 2023h)&lt;/DisplayText&gt;&lt;record&gt;&lt;rec-number&gt;358&lt;/rec-number&gt;&lt;foreign-keys&gt;&lt;key app="EN" db-id="aaepvppzs5wtfse95vsp2wahsrtvva2vvdet" timestamp="1684108984"&gt;358&lt;/key&gt;&lt;/foreign-keys&gt;&lt;ref-type name="Web Page"&gt;12&lt;/ref-type&gt;&lt;contributors&gt;&lt;authors&gt;&lt;author&gt;&lt;style face="normal" font="default" size="100%"&gt;Manat&lt;/style&gt;&lt;style face="normal" font="default" charset="238" size="100%"&gt;ū Hauora,&lt;/style&gt;&lt;/author&gt;&lt;/authors&gt;&lt;/contributors&gt;&lt;titles&gt;&lt;title&gt;National and regional immunisation data&lt;/title&gt;&lt;/titles&gt;&lt;number&gt;28 April 2023&lt;/number&gt;&lt;dates&gt;&lt;year&gt;2023&lt;/year&gt;&lt;/dates&gt;&lt;urls&gt;&lt;related-urls&gt;&lt;url&gt;www.health.govt.nz/our-work/preventative-health-wellness/immunisation/immunisation-coverage/national-and-regional-immunisation-data&lt;/url&gt;&lt;/related-urls&gt;&lt;/urls&gt;&lt;/record&gt;&lt;/Cite&gt;&lt;/EndNote&gt;</w:instrText>
      </w:r>
      <w:r w:rsidRPr="0007414B">
        <w:rPr>
          <w:rFonts w:cs="Segoe UI"/>
          <w:color w:val="000000" w:themeColor="text1"/>
          <w:lang w:eastAsia="en-NZ"/>
        </w:rPr>
        <w:fldChar w:fldCharType="separate"/>
      </w:r>
      <w:r w:rsidRPr="0007414B">
        <w:rPr>
          <w:rFonts w:cs="Segoe UI"/>
          <w:noProof/>
          <w:color w:val="000000" w:themeColor="text1"/>
          <w:lang w:eastAsia="en-NZ"/>
        </w:rPr>
        <w:t>(Manatū Hauora 2023h)</w:t>
      </w:r>
      <w:r w:rsidRPr="0007414B">
        <w:rPr>
          <w:rFonts w:cs="Segoe UI"/>
          <w:color w:val="000000" w:themeColor="text1"/>
          <w:lang w:eastAsia="en-NZ"/>
        </w:rPr>
        <w:fldChar w:fldCharType="end"/>
      </w:r>
      <w:r w:rsidRPr="0007414B">
        <w:rPr>
          <w:rFonts w:cs="Segoe UI"/>
          <w:lang w:eastAsia="en-NZ"/>
        </w:rPr>
        <w:t>.</w:t>
      </w:r>
    </w:p>
    <w:p w14:paraId="19DBC877" w14:textId="77777777" w:rsidR="00395CB9" w:rsidRPr="0007414B" w:rsidRDefault="00395CB9" w:rsidP="00395CB9">
      <w:pPr>
        <w:pStyle w:val="Heading5"/>
        <w:rPr>
          <w:lang w:eastAsia="en-NZ"/>
        </w:rPr>
      </w:pPr>
      <w:r w:rsidRPr="0007414B">
        <w:rPr>
          <w:lang w:eastAsia="en-NZ"/>
        </w:rPr>
        <w:t>Immunisation rates by deprivation</w:t>
      </w:r>
    </w:p>
    <w:p w14:paraId="1FA63355" w14:textId="15FB9327" w:rsidR="00395CB9" w:rsidRPr="0007414B" w:rsidRDefault="00395CB9" w:rsidP="00395CB9">
      <w:pPr>
        <w:rPr>
          <w:rFonts w:cs="Segoe UI"/>
          <w:color w:val="333333"/>
          <w:lang w:eastAsia="en-NZ"/>
        </w:rPr>
      </w:pPr>
      <w:r w:rsidRPr="00B559D4">
        <w:rPr>
          <w:rFonts w:cs="Segoe UI"/>
          <w:lang w:eastAsia="en-NZ"/>
        </w:rPr>
        <w:fldChar w:fldCharType="begin"/>
      </w:r>
      <w:r w:rsidRPr="0007414B">
        <w:rPr>
          <w:rFonts w:cs="Segoe UI"/>
          <w:color w:val="333333"/>
          <w:lang w:eastAsia="en-NZ"/>
        </w:rPr>
        <w:instrText xml:space="preserve"> REF _Ref132282668 \h  \* MERGEFORMAT </w:instrText>
      </w:r>
      <w:r w:rsidRPr="00B559D4">
        <w:rPr>
          <w:rFonts w:cs="Segoe UI"/>
          <w:lang w:eastAsia="en-NZ"/>
        </w:rPr>
      </w:r>
      <w:r w:rsidRPr="00B559D4">
        <w:rPr>
          <w:rFonts w:cs="Segoe UI"/>
          <w:lang w:eastAsia="en-NZ"/>
        </w:rPr>
        <w:fldChar w:fldCharType="separate"/>
      </w:r>
      <w:r w:rsidR="00BE208D" w:rsidRPr="00BE208D">
        <w:rPr>
          <w:rFonts w:cs="Segoe UI"/>
        </w:rPr>
        <w:t>Figure 30</w:t>
      </w:r>
      <w:r w:rsidRPr="00B559D4">
        <w:rPr>
          <w:rFonts w:cs="Segoe UI"/>
          <w:lang w:eastAsia="en-NZ"/>
        </w:rPr>
        <w:fldChar w:fldCharType="end"/>
      </w:r>
      <w:r w:rsidRPr="00B559D4">
        <w:rPr>
          <w:rFonts w:cs="Segoe UI"/>
          <w:lang w:eastAsia="en-NZ"/>
        </w:rPr>
        <w:t xml:space="preserve"> s</w:t>
      </w:r>
      <w:r w:rsidRPr="00B559D4">
        <w:rPr>
          <w:rFonts w:cs="Segoe UI"/>
        </w:rPr>
        <w:t xml:space="preserve">hows </w:t>
      </w:r>
      <w:r w:rsidRPr="0007414B">
        <w:rPr>
          <w:rFonts w:cs="Segoe UI"/>
        </w:rPr>
        <w:t xml:space="preserve">childhood immunisation rates at milestone ages of 8 months, 24 months and 5 years by deprivation quintile. Children living in the most deprived quintile have lower immunisation rates and, since 2020, the biggest falls in immunisation rates have been for children in this group </w:t>
      </w:r>
      <w:r w:rsidRPr="0007414B">
        <w:rPr>
          <w:rFonts w:cs="Segoe UI"/>
          <w:color w:val="000000" w:themeColor="text1"/>
          <w:lang w:eastAsia="en-NZ"/>
        </w:rPr>
        <w:fldChar w:fldCharType="begin"/>
      </w:r>
      <w:r>
        <w:rPr>
          <w:rFonts w:cs="Segoe UI"/>
          <w:color w:val="000000" w:themeColor="text1"/>
          <w:lang w:eastAsia="en-NZ"/>
        </w:rPr>
        <w:instrText xml:space="preserve"> ADDIN EN.CITE &lt;EndNote&gt;&lt;Cite&gt;&lt;Author&gt;Manatū Hauora&lt;/Author&gt;&lt;Year&gt;2023&lt;/Year&gt;&lt;RecNum&gt;358&lt;/RecNum&gt;&lt;DisplayText&gt;(Manatū Hauora 2023h)&lt;/DisplayText&gt;&lt;record&gt;&lt;rec-number&gt;358&lt;/rec-number&gt;&lt;foreign-keys&gt;&lt;key app="EN" db-id="aaepvppzs5wtfse95vsp2wahsrtvva2vvdet" timestamp="1684108984"&gt;358&lt;/key&gt;&lt;/foreign-keys&gt;&lt;ref-type name="Web Page"&gt;12&lt;/ref-type&gt;&lt;contributors&gt;&lt;authors&gt;&lt;author&gt;&lt;style face="normal" font="default" size="100%"&gt;Manat&lt;/style&gt;&lt;style face="normal" font="default" charset="238" size="100%"&gt;ū Hauora,&lt;/style&gt;&lt;/author&gt;&lt;/authors&gt;&lt;/contributors&gt;&lt;titles&gt;&lt;title&gt;National and regional immunisation data&lt;/title&gt;&lt;/titles&gt;&lt;number&gt;28 April 2023&lt;/number&gt;&lt;dates&gt;&lt;year&gt;2023&lt;/year&gt;&lt;/dates&gt;&lt;urls&gt;&lt;related-urls&gt;&lt;url&gt;www.health.govt.nz/our-work/preventative-health-wellness/immunisation/immunisation-coverage/national-and-regional-immunisation-data&lt;/url&gt;&lt;/related-urls&gt;&lt;/urls&gt;&lt;/record&gt;&lt;/Cite&gt;&lt;/EndNote&gt;</w:instrText>
      </w:r>
      <w:r w:rsidRPr="0007414B">
        <w:rPr>
          <w:rFonts w:cs="Segoe UI"/>
          <w:color w:val="000000" w:themeColor="text1"/>
          <w:lang w:eastAsia="en-NZ"/>
        </w:rPr>
        <w:fldChar w:fldCharType="separate"/>
      </w:r>
      <w:r w:rsidRPr="0007414B">
        <w:rPr>
          <w:rFonts w:cs="Segoe UI"/>
          <w:noProof/>
          <w:color w:val="000000" w:themeColor="text1"/>
          <w:lang w:eastAsia="en-NZ"/>
        </w:rPr>
        <w:t>(Manatū Hauora 2023h)</w:t>
      </w:r>
      <w:r w:rsidRPr="0007414B">
        <w:rPr>
          <w:rFonts w:cs="Segoe UI"/>
          <w:color w:val="000000" w:themeColor="text1"/>
          <w:lang w:eastAsia="en-NZ"/>
        </w:rPr>
        <w:fldChar w:fldCharType="end"/>
      </w:r>
      <w:r w:rsidRPr="0007414B">
        <w:rPr>
          <w:rFonts w:cs="Segoe UI"/>
        </w:rPr>
        <w:t>.</w:t>
      </w:r>
    </w:p>
    <w:p w14:paraId="460BFCE6" w14:textId="77777777" w:rsidR="00395CB9" w:rsidRPr="0007414B" w:rsidRDefault="00395CB9" w:rsidP="00395CB9">
      <w:pPr>
        <w:rPr>
          <w:rFonts w:cs="Segoe UI"/>
          <w:color w:val="333333"/>
          <w:sz w:val="18"/>
          <w:szCs w:val="18"/>
          <w:lang w:eastAsia="en-NZ"/>
        </w:rPr>
      </w:pPr>
    </w:p>
    <w:p w14:paraId="54F1E629" w14:textId="16E7E1DF" w:rsidR="00395CB9" w:rsidRPr="0007414B" w:rsidRDefault="00395CB9" w:rsidP="00B72E41">
      <w:pPr>
        <w:pStyle w:val="Figure"/>
      </w:pPr>
      <w:bookmarkStart w:id="155" w:name="_Ref132282668"/>
      <w:bookmarkStart w:id="156" w:name="_Toc138326972"/>
      <w:bookmarkStart w:id="157" w:name="_Toc138409953"/>
      <w:r>
        <w:lastRenderedPageBreak/>
        <w:t xml:space="preserve">Figure </w:t>
      </w:r>
      <w:fldSimple w:instr=" SEQ Figure \* ARABIC ">
        <w:r w:rsidR="00BE208D">
          <w:rPr>
            <w:noProof/>
          </w:rPr>
          <w:t>30</w:t>
        </w:r>
      </w:fldSimple>
      <w:bookmarkEnd w:id="155"/>
      <w:r>
        <w:t>: Childhood immunisation rates at milestone ages, by deprivation quintile (NZDep2018), 2014–2022</w:t>
      </w:r>
      <w:bookmarkEnd w:id="156"/>
      <w:bookmarkEnd w:id="157"/>
    </w:p>
    <w:p w14:paraId="5F178E3B" w14:textId="77777777" w:rsidR="00395CB9" w:rsidRPr="0007414B" w:rsidRDefault="00395CB9" w:rsidP="00395CB9">
      <w:r>
        <w:rPr>
          <w:noProof/>
        </w:rPr>
        <w:drawing>
          <wp:inline distT="0" distB="0" distL="0" distR="0" wp14:anchorId="2C39C36A" wp14:editId="5F7BB6B5">
            <wp:extent cx="5101839" cy="2550920"/>
            <wp:effectExtent l="0" t="0" r="3810" b="1905"/>
            <wp:docPr id="1652475976" name="Picture 1652475976" descr="A series of five side-by-side timeseries line charts showing childhood immunisation rates by deprivation quintile, between 2013–2022. Within each chart, three ages are presented: 8 months, 24 months, and 5-year-olds. For 5-year-olds, immunisation rates increased to about 2016, remained flat between 2017 and 2020, then decreased after 2020. For the 8-month and 24-month ages, vaccination rates declined across the time series, but most notably from 2020. Across the deprivation quintiles, children living in the most deprived population experienced the greatest decline in vaccin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5976" name="Picture 1652475976" descr="A series of five side-by-side timeseries line charts showing childhood immunisation rates by deprivation quintile, between 2013–2022. Within each chart, three ages are presented: 8 months, 24 months, and 5-year-olds. For 5-year-olds, immunisation rates increased to about 2016, remained flat between 2017 and 2020, then decreased after 2020. For the 8-month and 24-month ages, vaccination rates declined across the time series, but most notably from 2020. Across the deprivation quintiles, children living in the most deprived population experienced the greatest decline in vaccination rates."/>
                    <pic:cNvPicPr/>
                  </pic:nvPicPr>
                  <pic:blipFill>
                    <a:blip r:embed="rId95"/>
                    <a:stretch>
                      <a:fillRect/>
                    </a:stretch>
                  </pic:blipFill>
                  <pic:spPr>
                    <a:xfrm>
                      <a:off x="0" y="0"/>
                      <a:ext cx="5108529" cy="2554265"/>
                    </a:xfrm>
                    <a:prstGeom prst="rect">
                      <a:avLst/>
                    </a:prstGeom>
                  </pic:spPr>
                </pic:pic>
              </a:graphicData>
            </a:graphic>
          </wp:inline>
        </w:drawing>
      </w:r>
    </w:p>
    <w:p w14:paraId="25B85762" w14:textId="77777777" w:rsidR="00395CB9" w:rsidRPr="00B72E41" w:rsidRDefault="00395CB9" w:rsidP="00B72E41">
      <w:pPr>
        <w:pStyle w:val="Source"/>
      </w:pPr>
      <w:r w:rsidRPr="00B72E41">
        <w:t xml:space="preserve">Source: </w:t>
      </w:r>
      <w:hyperlink r:id="rId96" w:history="1">
        <w:r w:rsidRPr="00B72E41">
          <w:rPr>
            <w:rStyle w:val="Hyperlink"/>
          </w:rPr>
          <w:t>Manatū Hauora (2023h)</w:t>
        </w:r>
      </w:hyperlink>
    </w:p>
    <w:p w14:paraId="2BFD1E4C" w14:textId="77777777" w:rsidR="00395CB9" w:rsidRPr="0007414B" w:rsidRDefault="00395CB9" w:rsidP="00395CB9">
      <w:pPr>
        <w:rPr>
          <w:rFonts w:cs="Segoe UI"/>
          <w:color w:val="333333"/>
          <w:szCs w:val="21"/>
          <w:lang w:eastAsia="en-NZ"/>
        </w:rPr>
      </w:pPr>
    </w:p>
    <w:p w14:paraId="28801F54" w14:textId="77777777" w:rsidR="00395CB9" w:rsidRPr="0007414B" w:rsidRDefault="00395CB9" w:rsidP="00395CB9">
      <w:pPr>
        <w:pStyle w:val="Heading5"/>
        <w:rPr>
          <w:lang w:eastAsia="en-NZ"/>
        </w:rPr>
      </w:pPr>
      <w:r w:rsidRPr="0007414B">
        <w:rPr>
          <w:lang w:eastAsia="en-NZ"/>
        </w:rPr>
        <w:t>Immunisation rates by ethnic group</w:t>
      </w:r>
    </w:p>
    <w:p w14:paraId="563EAB90" w14:textId="3BAD18BF" w:rsidR="00395CB9" w:rsidRPr="0007414B" w:rsidRDefault="00395CB9" w:rsidP="00395CB9">
      <w:pPr>
        <w:rPr>
          <w:rFonts w:cs="Segoe UI"/>
          <w:lang w:eastAsia="en-NZ"/>
        </w:rPr>
      </w:pPr>
      <w:r w:rsidRPr="0007414B">
        <w:rPr>
          <w:rFonts w:cs="Segoe UI"/>
          <w:lang w:eastAsia="en-NZ"/>
        </w:rPr>
        <w:fldChar w:fldCharType="begin"/>
      </w:r>
      <w:r w:rsidRPr="0007414B">
        <w:rPr>
          <w:rFonts w:cs="Segoe UI"/>
          <w:lang w:eastAsia="en-NZ"/>
        </w:rPr>
        <w:instrText xml:space="preserve"> REF _Ref132181872 \h  \* MERGEFORMAT </w:instrText>
      </w:r>
      <w:r w:rsidRPr="0007414B">
        <w:rPr>
          <w:rFonts w:cs="Segoe UI"/>
          <w:lang w:eastAsia="en-NZ"/>
        </w:rPr>
      </w:r>
      <w:r w:rsidRPr="0007414B">
        <w:rPr>
          <w:rFonts w:cs="Segoe UI"/>
          <w:lang w:eastAsia="en-NZ"/>
        </w:rPr>
        <w:fldChar w:fldCharType="separate"/>
      </w:r>
      <w:r w:rsidR="00BE208D" w:rsidRPr="00BE208D">
        <w:rPr>
          <w:rFonts w:cs="Segoe UI"/>
        </w:rPr>
        <w:t>Table 9</w:t>
      </w:r>
      <w:r w:rsidRPr="0007414B">
        <w:rPr>
          <w:rFonts w:cs="Segoe UI"/>
          <w:lang w:eastAsia="en-NZ"/>
        </w:rPr>
        <w:fldChar w:fldCharType="end"/>
      </w:r>
      <w:r w:rsidRPr="0007414B">
        <w:rPr>
          <w:rFonts w:cs="Segoe UI"/>
          <w:lang w:eastAsia="en-NZ"/>
        </w:rPr>
        <w:t xml:space="preserve"> presents the percentage of children immunised at the milestone ages </w:t>
      </w:r>
      <w:r w:rsidRPr="0007414B">
        <w:rPr>
          <w:rFonts w:cs="Segoe UI"/>
          <w:color w:val="333333"/>
          <w:lang w:eastAsia="en-NZ"/>
        </w:rPr>
        <w:t xml:space="preserve">of </w:t>
      </w:r>
      <w:r w:rsidRPr="0007414B">
        <w:rPr>
          <w:rFonts w:cs="Segoe UI"/>
          <w:lang w:eastAsia="en-NZ"/>
        </w:rPr>
        <w:t xml:space="preserve">8 months, 24 months and 5 years by ethnic group as at December 2022. It shows a persistent equity gap for Māori tamariki at each milestone age </w:t>
      </w:r>
      <w:r w:rsidRPr="0007414B">
        <w:rPr>
          <w:rFonts w:cs="Segoe UI"/>
          <w:lang w:eastAsia="en-NZ"/>
        </w:rPr>
        <w:fldChar w:fldCharType="begin"/>
      </w:r>
      <w:r>
        <w:rPr>
          <w:rFonts w:cs="Segoe UI"/>
          <w:lang w:eastAsia="en-NZ"/>
        </w:rPr>
        <w:instrText xml:space="preserve"> ADDIN EN.CITE &lt;EndNote&gt;&lt;Cite&gt;&lt;Author&gt;Manatū Hauora&lt;/Author&gt;&lt;Year&gt;2023&lt;/Year&gt;&lt;RecNum&gt;358&lt;/RecNum&gt;&lt;DisplayText&gt;(Manatū Hauora 2023h)&lt;/DisplayText&gt;&lt;record&gt;&lt;rec-number&gt;358&lt;/rec-number&gt;&lt;foreign-keys&gt;&lt;key app="EN" db-id="aaepvppzs5wtfse95vsp2wahsrtvva2vvdet" timestamp="1684108984"&gt;358&lt;/key&gt;&lt;/foreign-keys&gt;&lt;ref-type name="Web Page"&gt;12&lt;/ref-type&gt;&lt;contributors&gt;&lt;authors&gt;&lt;author&gt;&lt;style face="normal" font="default" size="100%"&gt;Manat&lt;/style&gt;&lt;style face="normal" font="default" charset="238" size="100%"&gt;ū Hauora,&lt;/style&gt;&lt;/author&gt;&lt;/authors&gt;&lt;/contributors&gt;&lt;titles&gt;&lt;title&gt;National and regional immunisation data&lt;/title&gt;&lt;/titles&gt;&lt;number&gt;28 April 2023&lt;/number&gt;&lt;dates&gt;&lt;year&gt;2023&lt;/year&gt;&lt;/dates&gt;&lt;urls&gt;&lt;related-urls&gt;&lt;url&gt;www.health.govt.nz/our-work/preventative-health-wellness/immunisation/immunisation-coverage/national-and-regional-immunisation-data&lt;/url&gt;&lt;/related-urls&gt;&lt;/urls&gt;&lt;/record&gt;&lt;/Cite&gt;&lt;/EndNote&gt;</w:instrText>
      </w:r>
      <w:r w:rsidRPr="0007414B">
        <w:rPr>
          <w:rFonts w:cs="Segoe UI"/>
          <w:lang w:eastAsia="en-NZ"/>
        </w:rPr>
        <w:fldChar w:fldCharType="separate"/>
      </w:r>
      <w:r w:rsidRPr="0007414B">
        <w:rPr>
          <w:rFonts w:cs="Segoe UI"/>
          <w:noProof/>
          <w:lang w:eastAsia="en-NZ"/>
        </w:rPr>
        <w:t>(Manatū Hauora 2023h)</w:t>
      </w:r>
      <w:r w:rsidRPr="0007414B">
        <w:rPr>
          <w:rFonts w:cs="Segoe UI"/>
          <w:lang w:eastAsia="en-NZ"/>
        </w:rPr>
        <w:fldChar w:fldCharType="end"/>
      </w:r>
      <w:r w:rsidRPr="0007414B">
        <w:rPr>
          <w:rFonts w:cs="Segoe UI"/>
          <w:lang w:eastAsia="en-NZ"/>
        </w:rPr>
        <w:t>.</w:t>
      </w:r>
    </w:p>
    <w:p w14:paraId="3D48892E" w14:textId="77777777" w:rsidR="00395CB9" w:rsidRPr="0007414B" w:rsidRDefault="00395CB9" w:rsidP="00395CB9">
      <w:pPr>
        <w:rPr>
          <w:rFonts w:cs="Segoe UI"/>
          <w:lang w:eastAsia="en-NZ"/>
        </w:rPr>
      </w:pPr>
    </w:p>
    <w:p w14:paraId="22C389B2" w14:textId="7D4F21C0" w:rsidR="00395CB9" w:rsidRPr="0007414B" w:rsidRDefault="00395CB9" w:rsidP="00B72E41">
      <w:pPr>
        <w:pStyle w:val="Table"/>
      </w:pPr>
      <w:bookmarkStart w:id="158" w:name="_Ref132181872"/>
      <w:bookmarkStart w:id="159" w:name="_Toc138327004"/>
      <w:bookmarkStart w:id="160" w:name="_Toc138409985"/>
      <w:r w:rsidRPr="0007414B">
        <w:t xml:space="preserve">Table </w:t>
      </w:r>
      <w:r>
        <w:fldChar w:fldCharType="begin"/>
      </w:r>
      <w:r>
        <w:instrText>SEQ Table \* ARABIC</w:instrText>
      </w:r>
      <w:r>
        <w:fldChar w:fldCharType="separate"/>
      </w:r>
      <w:r w:rsidR="00BE208D">
        <w:rPr>
          <w:noProof/>
        </w:rPr>
        <w:t>9</w:t>
      </w:r>
      <w:r>
        <w:fldChar w:fldCharType="end"/>
      </w:r>
      <w:bookmarkEnd w:id="158"/>
      <w:r w:rsidRPr="0007414B">
        <w:t>: Percentage of children immunised</w:t>
      </w:r>
      <w:r w:rsidRPr="0007414B" w:rsidDel="001C0734">
        <w:t xml:space="preserve"> </w:t>
      </w:r>
      <w:r w:rsidRPr="0007414B">
        <w:t>at milestone ages, by ethnic group, 2022</w:t>
      </w:r>
      <w:bookmarkEnd w:id="159"/>
      <w:bookmarkEnd w:id="16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40"/>
        <w:gridCol w:w="1585"/>
        <w:gridCol w:w="1630"/>
        <w:gridCol w:w="1464"/>
        <w:gridCol w:w="1660"/>
      </w:tblGrid>
      <w:tr w:rsidR="00395CB9" w:rsidRPr="0007414B" w14:paraId="0CB3FDAF" w14:textId="77777777" w:rsidTr="00B72E41">
        <w:tc>
          <w:tcPr>
            <w:tcW w:w="1942" w:type="dxa"/>
            <w:tcBorders>
              <w:top w:val="nil"/>
              <w:bottom w:val="nil"/>
            </w:tcBorders>
            <w:shd w:val="clear" w:color="auto" w:fill="D9D9D9" w:themeFill="background1" w:themeFillShade="D9"/>
          </w:tcPr>
          <w:p w14:paraId="42863F4A" w14:textId="77777777" w:rsidR="00395CB9" w:rsidRPr="00B72E41" w:rsidRDefault="00395CB9" w:rsidP="00B72E41">
            <w:pPr>
              <w:pStyle w:val="TableText"/>
              <w:rPr>
                <w:b/>
                <w:bCs/>
                <w:lang w:eastAsia="en-NZ"/>
              </w:rPr>
            </w:pPr>
            <w:r w:rsidRPr="00B72E41">
              <w:rPr>
                <w:b/>
                <w:bCs/>
                <w:lang w:eastAsia="en-NZ"/>
              </w:rPr>
              <w:t>Milestone age</w:t>
            </w:r>
          </w:p>
        </w:tc>
        <w:tc>
          <w:tcPr>
            <w:tcW w:w="1840" w:type="dxa"/>
            <w:tcBorders>
              <w:top w:val="nil"/>
              <w:bottom w:val="nil"/>
            </w:tcBorders>
            <w:shd w:val="clear" w:color="auto" w:fill="D9D9D9" w:themeFill="background1" w:themeFillShade="D9"/>
          </w:tcPr>
          <w:p w14:paraId="3336DA9E" w14:textId="77777777" w:rsidR="00395CB9" w:rsidRPr="00B72E41" w:rsidRDefault="00395CB9" w:rsidP="00B72E41">
            <w:pPr>
              <w:pStyle w:val="TableText"/>
              <w:jc w:val="center"/>
              <w:rPr>
                <w:b/>
                <w:bCs/>
                <w:lang w:eastAsia="en-NZ"/>
              </w:rPr>
            </w:pPr>
            <w:r w:rsidRPr="00B72E41">
              <w:rPr>
                <w:b/>
                <w:bCs/>
                <w:lang w:eastAsia="en-NZ"/>
              </w:rPr>
              <w:t>Māori</w:t>
            </w:r>
          </w:p>
        </w:tc>
        <w:tc>
          <w:tcPr>
            <w:tcW w:w="1852" w:type="dxa"/>
            <w:tcBorders>
              <w:top w:val="nil"/>
              <w:bottom w:val="nil"/>
            </w:tcBorders>
            <w:shd w:val="clear" w:color="auto" w:fill="D9D9D9" w:themeFill="background1" w:themeFillShade="D9"/>
          </w:tcPr>
          <w:p w14:paraId="5A6DA5FB" w14:textId="77777777" w:rsidR="00395CB9" w:rsidRPr="00B72E41" w:rsidRDefault="00395CB9" w:rsidP="00B72E41">
            <w:pPr>
              <w:pStyle w:val="TableText"/>
              <w:jc w:val="center"/>
              <w:rPr>
                <w:b/>
                <w:bCs/>
                <w:lang w:eastAsia="en-NZ"/>
              </w:rPr>
            </w:pPr>
            <w:r w:rsidRPr="00B72E41">
              <w:rPr>
                <w:b/>
                <w:bCs/>
                <w:lang w:eastAsia="en-NZ"/>
              </w:rPr>
              <w:t>Pacific peoples</w:t>
            </w:r>
          </w:p>
        </w:tc>
        <w:tc>
          <w:tcPr>
            <w:tcW w:w="1691" w:type="dxa"/>
            <w:tcBorders>
              <w:top w:val="nil"/>
              <w:bottom w:val="nil"/>
            </w:tcBorders>
            <w:shd w:val="clear" w:color="auto" w:fill="D9D9D9" w:themeFill="background1" w:themeFillShade="D9"/>
          </w:tcPr>
          <w:p w14:paraId="3B856C12" w14:textId="77777777" w:rsidR="00395CB9" w:rsidRPr="00B72E41" w:rsidRDefault="00395CB9" w:rsidP="00B72E41">
            <w:pPr>
              <w:pStyle w:val="TableText"/>
              <w:jc w:val="center"/>
              <w:rPr>
                <w:b/>
                <w:bCs/>
                <w:lang w:eastAsia="en-NZ"/>
              </w:rPr>
            </w:pPr>
            <w:r w:rsidRPr="00B72E41">
              <w:rPr>
                <w:b/>
                <w:bCs/>
                <w:lang w:eastAsia="en-NZ"/>
              </w:rPr>
              <w:t>Asian</w:t>
            </w:r>
          </w:p>
        </w:tc>
        <w:tc>
          <w:tcPr>
            <w:tcW w:w="1691" w:type="dxa"/>
            <w:tcBorders>
              <w:top w:val="nil"/>
              <w:bottom w:val="nil"/>
            </w:tcBorders>
            <w:shd w:val="clear" w:color="auto" w:fill="D9D9D9" w:themeFill="background1" w:themeFillShade="D9"/>
          </w:tcPr>
          <w:p w14:paraId="088FB8DF" w14:textId="77777777" w:rsidR="00395CB9" w:rsidRPr="00B72E41" w:rsidRDefault="00395CB9" w:rsidP="00B72E41">
            <w:pPr>
              <w:pStyle w:val="TableText"/>
              <w:jc w:val="center"/>
              <w:rPr>
                <w:b/>
                <w:bCs/>
                <w:lang w:eastAsia="en-NZ"/>
              </w:rPr>
            </w:pPr>
            <w:r w:rsidRPr="00B72E41">
              <w:rPr>
                <w:b/>
                <w:bCs/>
                <w:lang w:eastAsia="en-NZ"/>
              </w:rPr>
              <w:t>European/other</w:t>
            </w:r>
          </w:p>
        </w:tc>
      </w:tr>
      <w:tr w:rsidR="00395CB9" w:rsidRPr="0007414B" w14:paraId="77B1097B" w14:textId="77777777" w:rsidTr="00B72E41">
        <w:tc>
          <w:tcPr>
            <w:tcW w:w="1942" w:type="dxa"/>
            <w:tcBorders>
              <w:top w:val="nil"/>
            </w:tcBorders>
          </w:tcPr>
          <w:p w14:paraId="7017DEAA" w14:textId="77777777" w:rsidR="00395CB9" w:rsidRPr="0007414B" w:rsidRDefault="00395CB9" w:rsidP="00B72E41">
            <w:pPr>
              <w:pStyle w:val="TableText"/>
              <w:rPr>
                <w:lang w:eastAsia="en-NZ"/>
              </w:rPr>
            </w:pPr>
            <w:r w:rsidRPr="0007414B">
              <w:rPr>
                <w:lang w:eastAsia="en-NZ"/>
              </w:rPr>
              <w:t>8 months</w:t>
            </w:r>
          </w:p>
        </w:tc>
        <w:tc>
          <w:tcPr>
            <w:tcW w:w="1840" w:type="dxa"/>
            <w:tcBorders>
              <w:top w:val="nil"/>
            </w:tcBorders>
          </w:tcPr>
          <w:p w14:paraId="5EC61385" w14:textId="77777777" w:rsidR="00395CB9" w:rsidRPr="0007414B" w:rsidRDefault="00395CB9" w:rsidP="00B72E41">
            <w:pPr>
              <w:pStyle w:val="TableText"/>
              <w:jc w:val="center"/>
              <w:rPr>
                <w:lang w:eastAsia="en-NZ"/>
              </w:rPr>
            </w:pPr>
            <w:r w:rsidRPr="0007414B">
              <w:rPr>
                <w:lang w:eastAsia="en-NZ"/>
              </w:rPr>
              <w:t>69.9%</w:t>
            </w:r>
          </w:p>
        </w:tc>
        <w:tc>
          <w:tcPr>
            <w:tcW w:w="1852" w:type="dxa"/>
            <w:tcBorders>
              <w:top w:val="nil"/>
            </w:tcBorders>
          </w:tcPr>
          <w:p w14:paraId="6FE7C794" w14:textId="77777777" w:rsidR="00395CB9" w:rsidRPr="0007414B" w:rsidRDefault="00395CB9" w:rsidP="00B72E41">
            <w:pPr>
              <w:pStyle w:val="TableText"/>
              <w:jc w:val="center"/>
              <w:rPr>
                <w:lang w:eastAsia="en-NZ"/>
              </w:rPr>
            </w:pPr>
            <w:r w:rsidRPr="0007414B">
              <w:rPr>
                <w:lang w:eastAsia="en-NZ"/>
              </w:rPr>
              <w:t>83.3%</w:t>
            </w:r>
          </w:p>
        </w:tc>
        <w:tc>
          <w:tcPr>
            <w:tcW w:w="1691" w:type="dxa"/>
            <w:tcBorders>
              <w:top w:val="nil"/>
            </w:tcBorders>
          </w:tcPr>
          <w:p w14:paraId="29E0790B" w14:textId="77777777" w:rsidR="00395CB9" w:rsidRPr="0007414B" w:rsidRDefault="00395CB9" w:rsidP="00B72E41">
            <w:pPr>
              <w:pStyle w:val="TableText"/>
              <w:jc w:val="center"/>
              <w:rPr>
                <w:lang w:eastAsia="en-NZ"/>
              </w:rPr>
            </w:pPr>
            <w:r w:rsidRPr="0007414B">
              <w:rPr>
                <w:lang w:eastAsia="en-NZ"/>
              </w:rPr>
              <w:t>95.1%</w:t>
            </w:r>
          </w:p>
        </w:tc>
        <w:tc>
          <w:tcPr>
            <w:tcW w:w="1691" w:type="dxa"/>
            <w:tcBorders>
              <w:top w:val="nil"/>
            </w:tcBorders>
          </w:tcPr>
          <w:p w14:paraId="239073A3" w14:textId="77777777" w:rsidR="00395CB9" w:rsidRPr="0007414B" w:rsidRDefault="00395CB9" w:rsidP="00B72E41">
            <w:pPr>
              <w:pStyle w:val="TableText"/>
              <w:jc w:val="center"/>
              <w:rPr>
                <w:lang w:eastAsia="en-NZ"/>
              </w:rPr>
            </w:pPr>
            <w:r w:rsidRPr="0007414B">
              <w:rPr>
                <w:lang w:eastAsia="en-NZ"/>
              </w:rPr>
              <w:t>88.1%</w:t>
            </w:r>
          </w:p>
        </w:tc>
      </w:tr>
      <w:tr w:rsidR="00395CB9" w:rsidRPr="0007414B" w14:paraId="62F04DDB" w14:textId="77777777" w:rsidTr="00B72E41">
        <w:tc>
          <w:tcPr>
            <w:tcW w:w="1942" w:type="dxa"/>
          </w:tcPr>
          <w:p w14:paraId="5DC5A8A5" w14:textId="77777777" w:rsidR="00395CB9" w:rsidRPr="0007414B" w:rsidRDefault="00395CB9" w:rsidP="00B72E41">
            <w:pPr>
              <w:pStyle w:val="TableText"/>
              <w:rPr>
                <w:lang w:eastAsia="en-NZ"/>
              </w:rPr>
            </w:pPr>
            <w:r w:rsidRPr="0007414B">
              <w:rPr>
                <w:lang w:eastAsia="en-NZ"/>
              </w:rPr>
              <w:t>24 months</w:t>
            </w:r>
          </w:p>
        </w:tc>
        <w:tc>
          <w:tcPr>
            <w:tcW w:w="1840" w:type="dxa"/>
          </w:tcPr>
          <w:p w14:paraId="02E3B09D" w14:textId="77777777" w:rsidR="00395CB9" w:rsidRPr="0007414B" w:rsidRDefault="00395CB9" w:rsidP="00B72E41">
            <w:pPr>
              <w:pStyle w:val="TableText"/>
              <w:jc w:val="center"/>
              <w:rPr>
                <w:lang w:eastAsia="en-NZ"/>
              </w:rPr>
            </w:pPr>
            <w:r w:rsidRPr="0007414B">
              <w:rPr>
                <w:lang w:eastAsia="en-NZ"/>
              </w:rPr>
              <w:t>67.8%</w:t>
            </w:r>
          </w:p>
        </w:tc>
        <w:tc>
          <w:tcPr>
            <w:tcW w:w="1852" w:type="dxa"/>
          </w:tcPr>
          <w:p w14:paraId="73FB355F" w14:textId="77777777" w:rsidR="00395CB9" w:rsidRPr="0007414B" w:rsidRDefault="00395CB9" w:rsidP="00B72E41">
            <w:pPr>
              <w:pStyle w:val="TableText"/>
              <w:jc w:val="center"/>
              <w:rPr>
                <w:lang w:eastAsia="en-NZ"/>
              </w:rPr>
            </w:pPr>
            <w:r w:rsidRPr="0007414B">
              <w:rPr>
                <w:lang w:eastAsia="en-NZ"/>
              </w:rPr>
              <w:t>81.7%</w:t>
            </w:r>
          </w:p>
        </w:tc>
        <w:tc>
          <w:tcPr>
            <w:tcW w:w="1691" w:type="dxa"/>
          </w:tcPr>
          <w:p w14:paraId="073B8284" w14:textId="77777777" w:rsidR="00395CB9" w:rsidRPr="0007414B" w:rsidRDefault="00395CB9" w:rsidP="00B72E41">
            <w:pPr>
              <w:pStyle w:val="TableText"/>
              <w:jc w:val="center"/>
              <w:rPr>
                <w:lang w:eastAsia="en-NZ"/>
              </w:rPr>
            </w:pPr>
            <w:r w:rsidRPr="0007414B">
              <w:rPr>
                <w:lang w:eastAsia="en-NZ"/>
              </w:rPr>
              <w:t>94.0%</w:t>
            </w:r>
          </w:p>
        </w:tc>
        <w:tc>
          <w:tcPr>
            <w:tcW w:w="1691" w:type="dxa"/>
          </w:tcPr>
          <w:p w14:paraId="110AB5E2" w14:textId="77777777" w:rsidR="00395CB9" w:rsidRPr="0007414B" w:rsidRDefault="00395CB9" w:rsidP="00B72E41">
            <w:pPr>
              <w:pStyle w:val="TableText"/>
              <w:jc w:val="center"/>
              <w:rPr>
                <w:lang w:eastAsia="en-NZ"/>
              </w:rPr>
            </w:pPr>
            <w:r w:rsidRPr="0007414B">
              <w:rPr>
                <w:lang w:eastAsia="en-NZ"/>
              </w:rPr>
              <w:t>86.9%</w:t>
            </w:r>
          </w:p>
        </w:tc>
      </w:tr>
      <w:tr w:rsidR="00395CB9" w:rsidRPr="0007414B" w14:paraId="252C0F0B" w14:textId="77777777" w:rsidTr="00B72E41">
        <w:tc>
          <w:tcPr>
            <w:tcW w:w="1942" w:type="dxa"/>
          </w:tcPr>
          <w:p w14:paraId="37E7B196" w14:textId="77777777" w:rsidR="00395CB9" w:rsidRPr="0007414B" w:rsidRDefault="00395CB9" w:rsidP="00B72E41">
            <w:pPr>
              <w:pStyle w:val="TableText"/>
              <w:rPr>
                <w:lang w:eastAsia="en-NZ"/>
              </w:rPr>
            </w:pPr>
            <w:r w:rsidRPr="0007414B">
              <w:rPr>
                <w:lang w:eastAsia="en-NZ"/>
              </w:rPr>
              <w:t>5 years</w:t>
            </w:r>
          </w:p>
        </w:tc>
        <w:tc>
          <w:tcPr>
            <w:tcW w:w="1840" w:type="dxa"/>
          </w:tcPr>
          <w:p w14:paraId="4E9497F7" w14:textId="77777777" w:rsidR="00395CB9" w:rsidRPr="0007414B" w:rsidRDefault="00395CB9" w:rsidP="00B72E41">
            <w:pPr>
              <w:pStyle w:val="TableText"/>
              <w:jc w:val="center"/>
              <w:rPr>
                <w:lang w:eastAsia="en-NZ"/>
              </w:rPr>
            </w:pPr>
            <w:r w:rsidRPr="0007414B">
              <w:rPr>
                <w:lang w:eastAsia="en-NZ"/>
              </w:rPr>
              <w:t>71.8%</w:t>
            </w:r>
          </w:p>
        </w:tc>
        <w:tc>
          <w:tcPr>
            <w:tcW w:w="1852" w:type="dxa"/>
          </w:tcPr>
          <w:p w14:paraId="3596BBB8" w14:textId="77777777" w:rsidR="00395CB9" w:rsidRPr="0007414B" w:rsidRDefault="00395CB9" w:rsidP="00B72E41">
            <w:pPr>
              <w:pStyle w:val="TableText"/>
              <w:jc w:val="center"/>
              <w:rPr>
                <w:lang w:eastAsia="en-NZ"/>
              </w:rPr>
            </w:pPr>
            <w:r w:rsidRPr="0007414B">
              <w:rPr>
                <w:lang w:eastAsia="en-NZ"/>
              </w:rPr>
              <w:t>80.2%</w:t>
            </w:r>
          </w:p>
        </w:tc>
        <w:tc>
          <w:tcPr>
            <w:tcW w:w="1691" w:type="dxa"/>
          </w:tcPr>
          <w:p w14:paraId="72AC4547" w14:textId="77777777" w:rsidR="00395CB9" w:rsidRPr="0007414B" w:rsidRDefault="00395CB9" w:rsidP="00B72E41">
            <w:pPr>
              <w:pStyle w:val="TableText"/>
              <w:jc w:val="center"/>
              <w:rPr>
                <w:lang w:eastAsia="en-NZ"/>
              </w:rPr>
            </w:pPr>
            <w:r w:rsidRPr="0007414B">
              <w:rPr>
                <w:lang w:eastAsia="en-NZ"/>
              </w:rPr>
              <w:t>87.7%</w:t>
            </w:r>
          </w:p>
        </w:tc>
        <w:tc>
          <w:tcPr>
            <w:tcW w:w="1691" w:type="dxa"/>
          </w:tcPr>
          <w:p w14:paraId="55EAA0EA" w14:textId="77777777" w:rsidR="00395CB9" w:rsidRPr="0007414B" w:rsidRDefault="00395CB9" w:rsidP="00B72E41">
            <w:pPr>
              <w:pStyle w:val="TableText"/>
              <w:jc w:val="center"/>
              <w:rPr>
                <w:lang w:eastAsia="en-NZ"/>
              </w:rPr>
            </w:pPr>
            <w:r w:rsidRPr="0007414B">
              <w:rPr>
                <w:lang w:eastAsia="en-NZ"/>
              </w:rPr>
              <w:t>84.9%</w:t>
            </w:r>
          </w:p>
        </w:tc>
      </w:tr>
    </w:tbl>
    <w:p w14:paraId="2649F143" w14:textId="77777777" w:rsidR="00395CB9" w:rsidRPr="00B72E41" w:rsidRDefault="00395CB9" w:rsidP="00B72E41">
      <w:pPr>
        <w:pStyle w:val="Source"/>
      </w:pPr>
      <w:r w:rsidRPr="00B72E41">
        <w:t xml:space="preserve">Source: </w:t>
      </w:r>
      <w:hyperlink r:id="rId97" w:history="1">
        <w:r w:rsidRPr="00B72E41">
          <w:rPr>
            <w:rStyle w:val="Hyperlink"/>
          </w:rPr>
          <w:t>Manatū Hauora (2023h)</w:t>
        </w:r>
      </w:hyperlink>
    </w:p>
    <w:p w14:paraId="7DB97020" w14:textId="77777777" w:rsidR="00395CB9" w:rsidRPr="0007414B" w:rsidRDefault="00395CB9" w:rsidP="00395CB9">
      <w:pPr>
        <w:rPr>
          <w:rFonts w:cs="Segoe UI"/>
          <w:color w:val="333333"/>
          <w:szCs w:val="21"/>
          <w:lang w:eastAsia="en-NZ"/>
        </w:rPr>
      </w:pPr>
    </w:p>
    <w:p w14:paraId="4E0F8531" w14:textId="67D2C8FD" w:rsidR="00395CB9" w:rsidRPr="0007414B" w:rsidRDefault="00395CB9" w:rsidP="00395CB9">
      <w:pPr>
        <w:rPr>
          <w:rFonts w:cs="Segoe UI"/>
          <w:lang w:eastAsia="en-NZ"/>
        </w:rPr>
      </w:pPr>
      <w:r w:rsidRPr="0007414B">
        <w:rPr>
          <w:rFonts w:cs="Segoe UI"/>
          <w:lang w:eastAsia="en-NZ"/>
        </w:rPr>
        <w:fldChar w:fldCharType="begin"/>
      </w:r>
      <w:r w:rsidRPr="0007414B">
        <w:rPr>
          <w:rFonts w:cs="Segoe UI"/>
          <w:lang w:eastAsia="en-NZ"/>
        </w:rPr>
        <w:instrText xml:space="preserve"> REF _Ref132117491 \h  \* MERGEFORMAT </w:instrText>
      </w:r>
      <w:r w:rsidRPr="0007414B">
        <w:rPr>
          <w:rFonts w:cs="Segoe UI"/>
          <w:lang w:eastAsia="en-NZ"/>
        </w:rPr>
      </w:r>
      <w:r w:rsidRPr="0007414B">
        <w:rPr>
          <w:rFonts w:cs="Segoe UI"/>
          <w:lang w:eastAsia="en-NZ"/>
        </w:rPr>
        <w:fldChar w:fldCharType="separate"/>
      </w:r>
      <w:r w:rsidR="00BE208D" w:rsidRPr="00BE208D">
        <w:rPr>
          <w:rFonts w:cs="Segoe UI"/>
        </w:rPr>
        <w:t>Figure</w:t>
      </w:r>
      <w:r w:rsidR="00BE208D">
        <w:t xml:space="preserve"> 31</w:t>
      </w:r>
      <w:r w:rsidRPr="0007414B">
        <w:rPr>
          <w:rFonts w:cs="Segoe UI"/>
          <w:lang w:eastAsia="en-NZ"/>
        </w:rPr>
        <w:fldChar w:fldCharType="end"/>
      </w:r>
      <w:r w:rsidRPr="0007414B">
        <w:rPr>
          <w:rFonts w:cs="Segoe UI"/>
          <w:lang w:eastAsia="en-NZ"/>
        </w:rPr>
        <w:t xml:space="preserve"> shows annual childhood immunisation rates at the milestone ages of 8 months, 24 months and 5 years by ethnic group from 2014 to 2022. Immunisation rates for Māori children and Pacific children have reduced over time, especially since 2020. Smaller decreases in immunisation rates are also evident for European and Asian children over the same period. </w:t>
      </w:r>
    </w:p>
    <w:p w14:paraId="44759586" w14:textId="62E5F102" w:rsidR="00395CB9" w:rsidRPr="0007414B" w:rsidRDefault="00395CB9" w:rsidP="00395CB9">
      <w:pPr>
        <w:spacing w:after="160" w:line="259" w:lineRule="auto"/>
        <w:rPr>
          <w:rFonts w:cs="Segoe UI"/>
          <w:color w:val="333333"/>
          <w:szCs w:val="21"/>
          <w:lang w:eastAsia="en-NZ"/>
        </w:rPr>
      </w:pPr>
    </w:p>
    <w:p w14:paraId="6DF5FEA8" w14:textId="38AB480E" w:rsidR="00395CB9" w:rsidRPr="0007414B" w:rsidRDefault="00395CB9" w:rsidP="00B72E41">
      <w:pPr>
        <w:pStyle w:val="Figure"/>
      </w:pPr>
      <w:bookmarkStart w:id="161" w:name="_Ref132117491"/>
      <w:bookmarkStart w:id="162" w:name="_Toc138326973"/>
      <w:bookmarkStart w:id="163" w:name="_Toc138409954"/>
      <w:r>
        <w:lastRenderedPageBreak/>
        <w:t xml:space="preserve">Figure </w:t>
      </w:r>
      <w:fldSimple w:instr=" SEQ Figure \* ARABIC ">
        <w:r w:rsidR="00BE208D">
          <w:rPr>
            <w:noProof/>
          </w:rPr>
          <w:t>31</w:t>
        </w:r>
      </w:fldSimple>
      <w:bookmarkEnd w:id="161"/>
      <w:r>
        <w:t>: Childhood immunisation rates at milestone ages, by ethnic group, 2014–2022</w:t>
      </w:r>
      <w:bookmarkEnd w:id="162"/>
      <w:bookmarkEnd w:id="163"/>
    </w:p>
    <w:p w14:paraId="11377017" w14:textId="77777777" w:rsidR="00395CB9" w:rsidRPr="0007414B" w:rsidRDefault="00395CB9" w:rsidP="00395CB9">
      <w:pPr>
        <w:rPr>
          <w:rFonts w:cs="Segoe UI"/>
          <w:color w:val="333333"/>
          <w:lang w:eastAsia="en-NZ"/>
        </w:rPr>
      </w:pPr>
      <w:r w:rsidRPr="0007414B">
        <w:rPr>
          <w:noProof/>
        </w:rPr>
        <w:drawing>
          <wp:inline distT="0" distB="0" distL="0" distR="0" wp14:anchorId="11A16794" wp14:editId="1F56E041">
            <wp:extent cx="5163946" cy="2580830"/>
            <wp:effectExtent l="0" t="0" r="0" b="0"/>
            <wp:docPr id="1823296348" name="Picture 1823296348" descr="A series of four timeseries line charts showing childhood immunisation rates by ethnic group, between 2014–2022. Within each chart, three ages are presented: 8 months, 24 months, and 5-year-olds. For 5-year-olds, immunisation rates increased to about 2016, remained flat between 2017 and 2020, then decreased after 2020. For the Māori and Pacific peoples ethnic groups, immunisation rates decreased for all ages since 2020. For the Asian and European ethnic groups, the decrease since 2020 is less appa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8" name="Picture 1823296348" descr="A series of four timeseries line charts showing childhood immunisation rates by ethnic group, between 2014–2022. Within each chart, three ages are presented: 8 months, 24 months, and 5-year-olds. For 5-year-olds, immunisation rates increased to about 2016, remained flat between 2017 and 2020, then decreased after 2020. For the Māori and Pacific peoples ethnic groups, immunisation rates decreased for all ages since 2020. For the Asian and European ethnic groups, the decrease since 2020 is less apparent.&#1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76611" cy="2587159"/>
                    </a:xfrm>
                    <a:prstGeom prst="rect">
                      <a:avLst/>
                    </a:prstGeom>
                  </pic:spPr>
                </pic:pic>
              </a:graphicData>
            </a:graphic>
          </wp:inline>
        </w:drawing>
      </w:r>
    </w:p>
    <w:p w14:paraId="16D3DBFA" w14:textId="77777777" w:rsidR="00395CB9" w:rsidRPr="00B72E41" w:rsidRDefault="00395CB9" w:rsidP="00B72E41">
      <w:pPr>
        <w:pStyle w:val="Source"/>
      </w:pPr>
      <w:r w:rsidRPr="00B72E41">
        <w:t xml:space="preserve">Source: </w:t>
      </w:r>
      <w:hyperlink r:id="rId99" w:history="1">
        <w:r w:rsidRPr="00B72E41">
          <w:rPr>
            <w:rStyle w:val="Hyperlink"/>
          </w:rPr>
          <w:t>Manatū Hauora (2023h)</w:t>
        </w:r>
      </w:hyperlink>
    </w:p>
    <w:p w14:paraId="2C7E9D26" w14:textId="77777777" w:rsidR="00395CB9" w:rsidRPr="0007414B" w:rsidRDefault="00395CB9" w:rsidP="00395CB9">
      <w:pPr>
        <w:pStyle w:val="Heading4"/>
        <w:rPr>
          <w:shd w:val="clear" w:color="auto" w:fill="FFFFFF"/>
        </w:rPr>
      </w:pPr>
      <w:r w:rsidRPr="0007414B">
        <w:rPr>
          <w:shd w:val="clear" w:color="auto" w:fill="FFFFFF"/>
        </w:rPr>
        <w:t>Influenza immunisation</w:t>
      </w:r>
    </w:p>
    <w:p w14:paraId="105F8164" w14:textId="77777777" w:rsidR="00395CB9" w:rsidRPr="0007414B" w:rsidRDefault="00395CB9" w:rsidP="00395CB9">
      <w:pPr>
        <w:rPr>
          <w:rFonts w:cs="Segoe UI"/>
          <w:shd w:val="clear" w:color="auto" w:fill="FFFFFF"/>
        </w:rPr>
      </w:pPr>
      <w:r w:rsidRPr="0007414B">
        <w:rPr>
          <w:rFonts w:cs="Segoe UI"/>
          <w:shd w:val="clear" w:color="auto" w:fill="FFFFFF"/>
        </w:rPr>
        <w:t xml:space="preserve">The influenza immunisation programme aims to vaccinate 75% of the total population aged 65 years and older and 75% of Māori and Pacific peoples aged 55 years and older against influenza each year </w:t>
      </w:r>
      <w:r w:rsidRPr="0007414B">
        <w:rPr>
          <w:rFonts w:cs="Segoe UI"/>
          <w:shd w:val="clear" w:color="auto" w:fill="FFFFFF"/>
        </w:rPr>
        <w:fldChar w:fldCharType="begin"/>
      </w:r>
      <w:r>
        <w:rPr>
          <w:rFonts w:cs="Segoe UI"/>
          <w:shd w:val="clear" w:color="auto" w:fill="FFFFFF"/>
        </w:rPr>
        <w:instrText xml:space="preserve"> ADDIN EN.CITE &lt;EndNote&gt;&lt;Cite&gt;&lt;Author&gt;The Immunisation Advisory Centre&lt;/Author&gt;&lt;Year&gt;2022&lt;/Year&gt;&lt;RecNum&gt;383&lt;/RecNum&gt;&lt;DisplayText&gt;(The Immunisation Advisory Centre 2022)&lt;/DisplayText&gt;&lt;record&gt;&lt;rec-number&gt;383&lt;/rec-number&gt;&lt;foreign-keys&gt;&lt;key app="EN" db-id="aaepvppzs5wtfse95vsp2wahsrtvva2vvdet" timestamp="1684472134"&gt;383&lt;/key&gt;&lt;/foreign-keys&gt;&lt;ref-type name="Web Page"&gt;12&lt;/ref-type&gt;&lt;contributors&gt;&lt;authors&gt;&lt;author&gt;The Immunisation Advisory Centre,&lt;/author&gt;&lt;/authors&gt;&lt;/contributors&gt;&lt;titles&gt;&lt;title&gt;New Zealand Immunisation Strategy&lt;/title&gt;&lt;/titles&gt;&lt;number&gt;18 May 2023&lt;/number&gt;&lt;dates&gt;&lt;year&gt;2022&lt;/year&gt;&lt;/dates&gt;&lt;urls&gt;&lt;related-urls&gt;&lt;url&gt;www.influenza.org.nz/clinical-info/new-zealand-immunisation-strategy&lt;/url&gt;&lt;/related-urls&gt;&lt;/urls&gt;&lt;/record&gt;&lt;/Cite&gt;&lt;/EndNote&gt;</w:instrText>
      </w:r>
      <w:r w:rsidRPr="0007414B">
        <w:rPr>
          <w:rFonts w:cs="Segoe UI"/>
          <w:shd w:val="clear" w:color="auto" w:fill="FFFFFF"/>
        </w:rPr>
        <w:fldChar w:fldCharType="separate"/>
      </w:r>
      <w:r>
        <w:rPr>
          <w:rFonts w:cs="Segoe UI"/>
          <w:noProof/>
          <w:shd w:val="clear" w:color="auto" w:fill="FFFFFF"/>
        </w:rPr>
        <w:t>(The Immunisation Advisory Centre 2022)</w:t>
      </w:r>
      <w:r w:rsidRPr="0007414B">
        <w:rPr>
          <w:rFonts w:cs="Segoe UI"/>
          <w:shd w:val="clear" w:color="auto" w:fill="FFFFFF"/>
        </w:rPr>
        <w:fldChar w:fldCharType="end"/>
      </w:r>
      <w:r w:rsidRPr="0007414B">
        <w:rPr>
          <w:rFonts w:cs="Segoe UI"/>
          <w:shd w:val="clear" w:color="auto" w:fill="FFFFFF"/>
        </w:rPr>
        <w:t xml:space="preserve">. </w:t>
      </w:r>
    </w:p>
    <w:p w14:paraId="3AF390DA" w14:textId="77777777" w:rsidR="00395CB9" w:rsidRPr="0007414B" w:rsidRDefault="00395CB9" w:rsidP="00395CB9">
      <w:pPr>
        <w:rPr>
          <w:rFonts w:cs="Segoe UI"/>
          <w:shd w:val="clear" w:color="auto" w:fill="FFFFFF"/>
        </w:rPr>
      </w:pPr>
    </w:p>
    <w:p w14:paraId="2D08C587" w14:textId="77777777" w:rsidR="00395CB9" w:rsidRPr="0007414B" w:rsidRDefault="00395CB9" w:rsidP="00395CB9">
      <w:pPr>
        <w:rPr>
          <w:rFonts w:cs="Segoe UI"/>
          <w:shd w:val="clear" w:color="auto" w:fill="FFFFFF"/>
        </w:rPr>
      </w:pPr>
      <w:r w:rsidRPr="0007414B">
        <w:rPr>
          <w:rFonts w:cs="Segoe UI"/>
          <w:shd w:val="clear" w:color="auto" w:fill="FFFFFF"/>
        </w:rPr>
        <w:t xml:space="preserve">In 2022, influenza vaccination rates differed by ethnic group: </w:t>
      </w:r>
      <w:r>
        <w:rPr>
          <w:rFonts w:cs="Segoe UI"/>
          <w:shd w:val="clear" w:color="auto" w:fill="FFFFFF"/>
        </w:rPr>
        <w:t>60.0</w:t>
      </w:r>
      <w:r w:rsidRPr="0007414B">
        <w:rPr>
          <w:rFonts w:cs="Segoe UI"/>
          <w:shd w:val="clear" w:color="auto" w:fill="FFFFFF"/>
        </w:rPr>
        <w:t>% of Māori, 58.6% of Pacific peoples, 55.8% of Asian peoples and 67.8% of the European/other</w:t>
      </w:r>
      <w:r w:rsidRPr="0007414B" w:rsidDel="00392079">
        <w:rPr>
          <w:rFonts w:cs="Segoe UI"/>
          <w:shd w:val="clear" w:color="auto" w:fill="FFFFFF"/>
        </w:rPr>
        <w:t xml:space="preserve"> </w:t>
      </w:r>
      <w:r w:rsidRPr="0007414B">
        <w:rPr>
          <w:rFonts w:cs="Segoe UI"/>
          <w:shd w:val="clear" w:color="auto" w:fill="FFFFFF"/>
        </w:rPr>
        <w:t>population received the vaccination. In the same year, among those aged 55–64 years,</w:t>
      </w:r>
      <w:r w:rsidRPr="0007414B" w:rsidDel="00392079">
        <w:rPr>
          <w:rFonts w:cs="Segoe UI"/>
          <w:shd w:val="clear" w:color="auto" w:fill="FFFFFF"/>
        </w:rPr>
        <w:t xml:space="preserve"> </w:t>
      </w:r>
      <w:r w:rsidRPr="0007414B">
        <w:rPr>
          <w:rFonts w:cs="Segoe UI"/>
          <w:shd w:val="clear" w:color="auto" w:fill="FFFFFF"/>
        </w:rPr>
        <w:t>35.5% of Māori and 38.6% of Pacific peoples received an influenza vaccination.</w:t>
      </w:r>
    </w:p>
    <w:p w14:paraId="2AD2D693" w14:textId="77777777" w:rsidR="00395CB9" w:rsidRPr="0007414B" w:rsidRDefault="00395CB9" w:rsidP="00395CB9">
      <w:pPr>
        <w:pStyle w:val="Heading4"/>
        <w:rPr>
          <w:shd w:val="clear" w:color="auto" w:fill="FFFFFF"/>
        </w:rPr>
      </w:pPr>
      <w:r w:rsidRPr="0007414B">
        <w:rPr>
          <w:shd w:val="clear" w:color="auto" w:fill="FFFFFF"/>
        </w:rPr>
        <w:t>Human papillomavirus (HPV) immunisation</w:t>
      </w:r>
    </w:p>
    <w:p w14:paraId="757E92CD" w14:textId="77777777" w:rsidR="00395CB9" w:rsidRPr="0007414B" w:rsidRDefault="00395CB9" w:rsidP="00395CB9">
      <w:pPr>
        <w:rPr>
          <w:rFonts w:cs="Segoe UI"/>
          <w:lang w:eastAsia="en-NZ"/>
        </w:rPr>
      </w:pPr>
      <w:r w:rsidRPr="0007414B">
        <w:rPr>
          <w:rFonts w:cs="Segoe UI"/>
          <w:shd w:val="clear" w:color="auto" w:fill="FFFFFF"/>
        </w:rPr>
        <w:t xml:space="preserve">HPV immunisation is free for everyone aged 9–26 years and for non-residents under the age of 18 years </w:t>
      </w:r>
      <w:r w:rsidRPr="0007414B">
        <w:rPr>
          <w:rFonts w:cs="Segoe UI"/>
          <w:shd w:val="clear" w:color="auto" w:fill="FFFFFF"/>
        </w:rPr>
        <w:fldChar w:fldCharType="begin"/>
      </w:r>
      <w:r>
        <w:rPr>
          <w:rFonts w:cs="Segoe UI"/>
          <w:shd w:val="clear" w:color="auto" w:fill="FFFFFF"/>
        </w:rPr>
        <w:instrText xml:space="preserve"> ADDIN EN.CITE &lt;EndNote&gt;&lt;Cite&gt;&lt;Author&gt;Manatū Hauora&lt;/Author&gt;&lt;Year&gt;2023&lt;/Year&gt;&lt;RecNum&gt;316&lt;/RecNum&gt;&lt;DisplayText&gt;(Manatū Hauora 2023f)&lt;/DisplayText&gt;&lt;record&gt;&lt;rec-number&gt;316&lt;/rec-number&gt;&lt;foreign-keys&gt;&lt;key app="EN" db-id="aaepvppzs5wtfse95vsp2wahsrtvva2vvdet" timestamp="1683256949"&gt;316&lt;/key&gt;&lt;/foreign-keys&gt;&lt;ref-type name="Web Page"&gt;12&lt;/ref-type&gt;&lt;contributors&gt;&lt;authors&gt;&lt;author&gt;&lt;style face="normal" font="default" size="100%"&gt;Manat&lt;/style&gt;&lt;style face="normal" font="default" charset="238" size="100%"&gt;ū Hauora,&lt;/style&gt;&lt;/author&gt;&lt;/authors&gt;&lt;/contributors&gt;&lt;titles&gt;&lt;title&gt;HPV immunisation programme&lt;/title&gt;&lt;/titles&gt;&lt;number&gt;5 May 2023&lt;/number&gt;&lt;dates&gt;&lt;year&gt;2023&lt;/year&gt;&lt;/dates&gt;&lt;urls&gt;&lt;related-urls&gt;&lt;url&gt;www.health.govt.nz/our-work/preventative-health-wellness/immunisation/hpv-immunisation-programme&lt;/url&gt;&lt;/related-urls&gt;&lt;/urls&gt;&lt;/record&gt;&lt;/Cite&gt;&lt;/EndNote&gt;</w:instrText>
      </w:r>
      <w:r w:rsidRPr="0007414B">
        <w:rPr>
          <w:rFonts w:cs="Segoe UI"/>
          <w:shd w:val="clear" w:color="auto" w:fill="FFFFFF"/>
        </w:rPr>
        <w:fldChar w:fldCharType="separate"/>
      </w:r>
      <w:r w:rsidRPr="0007414B">
        <w:rPr>
          <w:rFonts w:cs="Segoe UI"/>
          <w:noProof/>
          <w:shd w:val="clear" w:color="auto" w:fill="FFFFFF"/>
        </w:rPr>
        <w:t>(Manatū Hauora 2023f)</w:t>
      </w:r>
      <w:r w:rsidRPr="0007414B">
        <w:rPr>
          <w:rFonts w:cs="Segoe UI"/>
          <w:shd w:val="clear" w:color="auto" w:fill="FFFFFF"/>
        </w:rPr>
        <w:fldChar w:fldCharType="end"/>
      </w:r>
      <w:r w:rsidRPr="0007414B">
        <w:rPr>
          <w:rFonts w:cs="Segoe UI"/>
          <w:shd w:val="clear" w:color="auto" w:fill="FFFFFF"/>
        </w:rPr>
        <w:t xml:space="preserve">. HPV immunisation aims to protect young people from HPV infection, which increases the risk of developing cervical cancer and a range of other HPV-related diseases later in life. </w:t>
      </w:r>
      <w:r w:rsidRPr="0007414B">
        <w:rPr>
          <w:rFonts w:cs="Segoe UI"/>
          <w:lang w:eastAsia="en-NZ"/>
        </w:rPr>
        <w:t>The target for</w:t>
      </w:r>
      <w:r w:rsidRPr="0007414B" w:rsidDel="007E2D82">
        <w:rPr>
          <w:rFonts w:cs="Segoe UI"/>
          <w:lang w:eastAsia="en-NZ"/>
        </w:rPr>
        <w:t xml:space="preserve"> </w:t>
      </w:r>
      <w:r w:rsidRPr="0007414B">
        <w:rPr>
          <w:rFonts w:cs="Segoe UI"/>
          <w:lang w:eastAsia="en-NZ"/>
        </w:rPr>
        <w:t>HPV immunisation coverage across the country is 75%. As at 31 December 2022, the coverage (final dose) for the 2009 birth cohort by ethnic group was:</w:t>
      </w:r>
    </w:p>
    <w:p w14:paraId="13D2B4AB" w14:textId="77777777" w:rsidR="00395CB9" w:rsidRPr="0007414B" w:rsidRDefault="00395CB9" w:rsidP="00B72E41">
      <w:pPr>
        <w:pStyle w:val="Bullet"/>
        <w:rPr>
          <w:lang w:eastAsia="en-NZ"/>
        </w:rPr>
      </w:pPr>
      <w:r w:rsidRPr="0007414B">
        <w:rPr>
          <w:lang w:eastAsia="en-NZ"/>
        </w:rPr>
        <w:t>44.7% for Māori</w:t>
      </w:r>
    </w:p>
    <w:p w14:paraId="1569B0B5" w14:textId="77777777" w:rsidR="00395CB9" w:rsidRPr="0007414B" w:rsidRDefault="00395CB9" w:rsidP="00B72E41">
      <w:pPr>
        <w:pStyle w:val="Bullet"/>
        <w:rPr>
          <w:lang w:eastAsia="en-NZ"/>
        </w:rPr>
      </w:pPr>
      <w:r w:rsidRPr="0007414B">
        <w:rPr>
          <w:lang w:eastAsia="en-NZ"/>
        </w:rPr>
        <w:t>47.7% for Pacific peoples</w:t>
      </w:r>
    </w:p>
    <w:p w14:paraId="12ACC628" w14:textId="77777777" w:rsidR="00395CB9" w:rsidRPr="0007414B" w:rsidRDefault="00395CB9" w:rsidP="00B72E41">
      <w:pPr>
        <w:pStyle w:val="Bullet"/>
        <w:rPr>
          <w:lang w:eastAsia="en-NZ"/>
        </w:rPr>
      </w:pPr>
      <w:r w:rsidRPr="0007414B">
        <w:rPr>
          <w:lang w:eastAsia="en-NZ"/>
        </w:rPr>
        <w:t>66.3% for Asian peoples</w:t>
      </w:r>
    </w:p>
    <w:p w14:paraId="093A9B11" w14:textId="77777777" w:rsidR="00395CB9" w:rsidRPr="0007414B" w:rsidRDefault="00395CB9" w:rsidP="00B72E41">
      <w:pPr>
        <w:pStyle w:val="Bullet"/>
        <w:rPr>
          <w:lang w:eastAsia="en-NZ"/>
        </w:rPr>
      </w:pPr>
      <w:r w:rsidRPr="0007414B">
        <w:rPr>
          <w:lang w:eastAsia="en-NZ"/>
        </w:rPr>
        <w:t xml:space="preserve">57.2% for the European/other group </w:t>
      </w:r>
      <w:r w:rsidRPr="0007414B">
        <w:rPr>
          <w:lang w:eastAsia="en-NZ"/>
        </w:rPr>
        <w:fldChar w:fldCharType="begin"/>
      </w:r>
      <w:r>
        <w:rPr>
          <w:lang w:eastAsia="en-NZ"/>
        </w:rPr>
        <w:instrText xml:space="preserve"> ADDIN EN.CITE &lt;EndNote&gt;&lt;Cite&gt;&lt;Author&gt;Manatū Hauora&lt;/Author&gt;&lt;Year&gt;2023&lt;/Year&gt;&lt;RecNum&gt;316&lt;/RecNum&gt;&lt;DisplayText&gt;(Manatū Hauora 2023f)&lt;/DisplayText&gt;&lt;record&gt;&lt;rec-number&gt;316&lt;/rec-number&gt;&lt;foreign-keys&gt;&lt;key app="EN" db-id="aaepvppzs5wtfse95vsp2wahsrtvva2vvdet" timestamp="1683256949"&gt;316&lt;/key&gt;&lt;/foreign-keys&gt;&lt;ref-type name="Web Page"&gt;12&lt;/ref-type&gt;&lt;contributors&gt;&lt;authors&gt;&lt;author&gt;&lt;style face="normal" font="default" size="100%"&gt;Manat&lt;/style&gt;&lt;style face="normal" font="default" charset="238" size="100%"&gt;ū Hauora,&lt;/style&gt;&lt;/author&gt;&lt;/authors&gt;&lt;/contributors&gt;&lt;titles&gt;&lt;title&gt;HPV immunisation programme&lt;/title&gt;&lt;/titles&gt;&lt;number&gt;5 May 2023&lt;/number&gt;&lt;dates&gt;&lt;year&gt;2023&lt;/year&gt;&lt;/dates&gt;&lt;urls&gt;&lt;related-urls&gt;&lt;url&gt;www.health.govt.nz/our-work/preventative-health-wellness/immunisation/hpv-immunisation-programme&lt;/url&gt;&lt;/related-urls&gt;&lt;/urls&gt;&lt;/record&gt;&lt;/Cite&gt;&lt;/EndNote&gt;</w:instrText>
      </w:r>
      <w:r w:rsidRPr="0007414B">
        <w:rPr>
          <w:lang w:eastAsia="en-NZ"/>
        </w:rPr>
        <w:fldChar w:fldCharType="separate"/>
      </w:r>
      <w:r w:rsidRPr="0007414B">
        <w:rPr>
          <w:noProof/>
          <w:lang w:eastAsia="en-NZ"/>
        </w:rPr>
        <w:t>(Manatū Hauora 2023f)</w:t>
      </w:r>
      <w:r w:rsidRPr="0007414B">
        <w:rPr>
          <w:lang w:eastAsia="en-NZ"/>
        </w:rPr>
        <w:fldChar w:fldCharType="end"/>
      </w:r>
      <w:r w:rsidRPr="0007414B">
        <w:rPr>
          <w:lang w:eastAsia="en-NZ"/>
        </w:rPr>
        <w:t xml:space="preserve">. </w:t>
      </w:r>
    </w:p>
    <w:p w14:paraId="285B86F0" w14:textId="77777777" w:rsidR="00395CB9" w:rsidRPr="0007414B" w:rsidRDefault="00395CB9" w:rsidP="00395CB9">
      <w:pPr>
        <w:rPr>
          <w:rFonts w:cs="Segoe UI"/>
          <w:lang w:eastAsia="en-NZ"/>
        </w:rPr>
      </w:pPr>
    </w:p>
    <w:p w14:paraId="5A545BA9" w14:textId="46CD74A6" w:rsidR="00395CB9" w:rsidRPr="0007414B" w:rsidRDefault="00395CB9" w:rsidP="00395CB9">
      <w:pPr>
        <w:rPr>
          <w:rFonts w:cs="Segoe UI"/>
          <w:lang w:eastAsia="en-NZ"/>
        </w:rPr>
      </w:pPr>
      <w:r w:rsidRPr="0007414B">
        <w:rPr>
          <w:rFonts w:cs="Segoe UI"/>
          <w:lang w:eastAsia="en-NZ"/>
        </w:rPr>
        <w:fldChar w:fldCharType="begin"/>
      </w:r>
      <w:r w:rsidRPr="0007414B">
        <w:rPr>
          <w:rFonts w:cs="Segoe UI"/>
          <w:lang w:eastAsia="en-NZ"/>
        </w:rPr>
        <w:instrText xml:space="preserve"> REF _Ref132288137 \h  \* MERGEFORMAT </w:instrText>
      </w:r>
      <w:r w:rsidRPr="0007414B">
        <w:rPr>
          <w:rFonts w:cs="Segoe UI"/>
          <w:lang w:eastAsia="en-NZ"/>
        </w:rPr>
      </w:r>
      <w:r w:rsidRPr="0007414B">
        <w:rPr>
          <w:rFonts w:cs="Segoe UI"/>
          <w:lang w:eastAsia="en-NZ"/>
        </w:rPr>
        <w:fldChar w:fldCharType="separate"/>
      </w:r>
      <w:r w:rsidR="00BE208D" w:rsidRPr="00BE208D">
        <w:rPr>
          <w:rFonts w:cs="Segoe UI"/>
        </w:rPr>
        <w:t>Figure 32</w:t>
      </w:r>
      <w:r w:rsidRPr="0007414B">
        <w:rPr>
          <w:rFonts w:cs="Segoe UI"/>
          <w:lang w:eastAsia="en-NZ"/>
        </w:rPr>
        <w:fldChar w:fldCharType="end"/>
      </w:r>
      <w:r w:rsidRPr="0007414B">
        <w:rPr>
          <w:rFonts w:cs="Segoe UI"/>
          <w:lang w:eastAsia="en-NZ"/>
        </w:rPr>
        <w:t xml:space="preserve"> shows HPV immunisation coverage for the 2009 birth cohort by ethnic group as at 31 December 2022. It breaks down the coverage by the percentages receiving no doses, first dose only and final dose.</w:t>
      </w:r>
    </w:p>
    <w:p w14:paraId="714D3E41" w14:textId="77777777" w:rsidR="00395CB9" w:rsidRPr="0007414B" w:rsidRDefault="00395CB9" w:rsidP="00395CB9">
      <w:pPr>
        <w:rPr>
          <w:rFonts w:cs="Segoe UI"/>
          <w:lang w:eastAsia="en-NZ"/>
        </w:rPr>
      </w:pPr>
    </w:p>
    <w:p w14:paraId="3B5A37FA" w14:textId="4E31FDE1" w:rsidR="00395CB9" w:rsidRPr="0007414B" w:rsidRDefault="00395CB9" w:rsidP="000E689C">
      <w:pPr>
        <w:pStyle w:val="Figure"/>
        <w:rPr>
          <w:rStyle w:val="ui-provider"/>
        </w:rPr>
      </w:pPr>
      <w:bookmarkStart w:id="164" w:name="_Ref132288137"/>
      <w:bookmarkStart w:id="165" w:name="_Toc138326974"/>
      <w:bookmarkStart w:id="166" w:name="_Toc138409955"/>
      <w:r>
        <w:lastRenderedPageBreak/>
        <w:t xml:space="preserve">Figure </w:t>
      </w:r>
      <w:fldSimple w:instr=" SEQ Figure \* ARABIC ">
        <w:r w:rsidR="00BE208D">
          <w:rPr>
            <w:noProof/>
          </w:rPr>
          <w:t>32</w:t>
        </w:r>
      </w:fldSimple>
      <w:bookmarkEnd w:id="164"/>
      <w:r>
        <w:t xml:space="preserve">: </w:t>
      </w:r>
      <w:r w:rsidRPr="2A8FA12E">
        <w:rPr>
          <w:rStyle w:val="ui-provider"/>
        </w:rPr>
        <w:t>HPV immunisation coverage of 2009 birth cohort, by ethnic group, at 31 December 2022</w:t>
      </w:r>
      <w:bookmarkEnd w:id="165"/>
      <w:bookmarkEnd w:id="166"/>
    </w:p>
    <w:p w14:paraId="0F224F1C" w14:textId="77777777" w:rsidR="00395CB9" w:rsidRPr="0007414B" w:rsidRDefault="00395CB9" w:rsidP="00395CB9">
      <w:pPr>
        <w:rPr>
          <w:rStyle w:val="ui-provider"/>
        </w:rPr>
      </w:pPr>
      <w:r w:rsidRPr="0007414B">
        <w:rPr>
          <w:noProof/>
        </w:rPr>
        <w:drawing>
          <wp:inline distT="0" distB="0" distL="0" distR="0" wp14:anchorId="00371DD1" wp14:editId="7912F942">
            <wp:extent cx="5144570" cy="2572285"/>
            <wp:effectExtent l="0" t="0" r="0" b="0"/>
            <wp:docPr id="1823296349" name="Picture 1823296349" descr="A 100% stacked bar chart showing HPV immunisation coverage by ethnic group for the 2009 birth cohort, the data is as of 31 December 2022. The bar stacks show the population coverage, split into final dose, first dose only, or no doses. For Māori, 39.8% had no doses, 15.5% had first dose only, and 44.7% had final dose. For Pacific peoples, 32.8% had no doses, 19.5% had first dose only, and 47.7% had final dose. For Asian, 21.2% had no doses, 15.5% had first dose only, and 63.3% had final dose. For European/other, 28.9% had no doses, 13.9% had first dose only, and 57.2% had final d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49" name="Picture 1823296349" descr="A 100% stacked bar chart showing HPV immunisation coverage by ethnic group for the 2009 birth cohort, the data is as of 31 December 2022. The bar stacks show the population coverage, split into final dose, first dose only, or no doses. For Māori, 39.8% had no doses, 15.5% had first dose only, and 44.7% had final dose. For Pacific peoples, 32.8% had no doses, 19.5% had first dose only, and 47.7% had final dose. For Asian, 21.2% had no doses, 15.5% had first dose only, and 63.3% had final dose. For European/other, 28.9% had no doses, 13.9% had first dose only, and 57.2% had final dose.&#1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159225" cy="2579613"/>
                    </a:xfrm>
                    <a:prstGeom prst="rect">
                      <a:avLst/>
                    </a:prstGeom>
                  </pic:spPr>
                </pic:pic>
              </a:graphicData>
            </a:graphic>
          </wp:inline>
        </w:drawing>
      </w:r>
    </w:p>
    <w:p w14:paraId="32419E1E" w14:textId="77777777" w:rsidR="00395CB9" w:rsidRPr="000E689C" w:rsidRDefault="00395CB9" w:rsidP="000E689C">
      <w:pPr>
        <w:pStyle w:val="Source"/>
      </w:pPr>
      <w:r w:rsidRPr="000E689C">
        <w:t xml:space="preserve">Source: </w:t>
      </w:r>
      <w:hyperlink r:id="rId101" w:history="1">
        <w:r w:rsidRPr="000E689C">
          <w:rPr>
            <w:rStyle w:val="Hyperlink"/>
          </w:rPr>
          <w:t>Manatū Hauora (2023f)</w:t>
        </w:r>
      </w:hyperlink>
    </w:p>
    <w:p w14:paraId="4CF6273A" w14:textId="77777777" w:rsidR="00395CB9" w:rsidRPr="0007414B" w:rsidRDefault="00395CB9" w:rsidP="000E689C">
      <w:pPr>
        <w:pStyle w:val="Heading3"/>
      </w:pPr>
      <w:r w:rsidRPr="0007414B">
        <w:t xml:space="preserve">Cancer screening services </w:t>
      </w:r>
    </w:p>
    <w:p w14:paraId="1A4BC5A6" w14:textId="77777777" w:rsidR="00395CB9" w:rsidRPr="0007414B" w:rsidRDefault="00395CB9" w:rsidP="00395CB9">
      <w:pPr>
        <w:rPr>
          <w:lang w:eastAsia="en-NZ"/>
        </w:rPr>
      </w:pPr>
      <w:r w:rsidRPr="0007414B">
        <w:rPr>
          <w:lang w:eastAsia="en-NZ"/>
        </w:rPr>
        <w:t>The National Screening Unit provides health screening programmes in Aotearoa New Zealand, as part of the Population Health and Prevention directorate within Te Whatu Ora. Cancer screening programmes are provided for breast, cervical and bowel cancer.</w:t>
      </w:r>
    </w:p>
    <w:p w14:paraId="1C2D42DB" w14:textId="77777777" w:rsidR="00395CB9" w:rsidRPr="0007414B" w:rsidRDefault="00395CB9" w:rsidP="00395CB9">
      <w:pPr>
        <w:pStyle w:val="Heading4"/>
      </w:pPr>
      <w:r w:rsidRPr="0007414B">
        <w:t xml:space="preserve">Breast screening </w:t>
      </w:r>
    </w:p>
    <w:p w14:paraId="0F6A9BBC" w14:textId="7DA64436" w:rsidR="00395CB9" w:rsidRPr="0007414B" w:rsidRDefault="00395CB9" w:rsidP="00395CB9">
      <w:pPr>
        <w:rPr>
          <w:rFonts w:eastAsia="&quot;Calibri&quot;,sans-serif" w:cs="Segoe UI"/>
        </w:rPr>
      </w:pPr>
      <w:r w:rsidRPr="0007414B">
        <w:rPr>
          <w:rFonts w:eastAsia="&quot;Calibri&quot;,sans-serif" w:cs="Segoe UI"/>
          <w:lang w:eastAsia="en-NZ"/>
        </w:rPr>
        <w:t xml:space="preserve">Breast cancer is the most common cancer to affect women in Aotearoa New Zealand, where around 3,500 new cases and more than 600 deaths occur every year </w:t>
      </w:r>
      <w:r w:rsidRPr="0007414B">
        <w:rPr>
          <w:rFonts w:eastAsia="&quot;Calibri&quot;,sans-serif" w:cs="Segoe UI"/>
          <w:lang w:eastAsia="en-NZ"/>
        </w:rPr>
        <w:fldChar w:fldCharType="begin"/>
      </w:r>
      <w:r w:rsidRPr="0007414B">
        <w:rPr>
          <w:rFonts w:eastAsia="&quot;Calibri&quot;,sans-serif" w:cs="Segoe UI"/>
          <w:lang w:eastAsia="en-NZ"/>
        </w:rPr>
        <w:instrText xml:space="preserve"> ADDIN EN.CITE &lt;EndNote&gt;&lt;Cite&gt;&lt;Author&gt;Te Whatu Ora&lt;/Author&gt;&lt;Year&gt;2023&lt;/Year&gt;&lt;RecNum&gt;31&lt;/RecNum&gt;&lt;DisplayText&gt;(Te Whatu Ora 2023h)&lt;/DisplayText&gt;&lt;record&gt;&lt;rec-number&gt;31&lt;/rec-number&gt;&lt;foreign-keys&gt;&lt;key app="EN" db-id="aaepvppzs5wtfse95vsp2wahsrtvva2vvdet" timestamp="1632282757"&gt;31&lt;/key&gt;&lt;/foreign-keys&gt;&lt;ref-type name="Web Page"&gt;12&lt;/ref-type&gt;&lt;contributors&gt;&lt;authors&gt;&lt;author&gt;Te Whatu Ora,&lt;/author&gt;&lt;/authors&gt;&lt;/contributors&gt;&lt;titles&gt;&lt;title&gt;Mortality web tool (Data file)&lt;/title&gt;&lt;/titles&gt;&lt;number&gt;28 April 2023&lt;/number&gt;&lt;dates&gt;&lt;year&gt;2023&lt;/year&gt;&lt;/dates&gt;&lt;urls&gt;&lt;related-urls&gt;&lt;url&gt;https://tewhatuora.shinyapps.io/mortality-web-tool/&lt;/url&gt;&lt;/related-urls&gt;&lt;/urls&gt;&lt;/record&gt;&lt;/Cite&gt;&lt;/EndNote&gt;</w:instrText>
      </w:r>
      <w:r w:rsidRPr="0007414B">
        <w:rPr>
          <w:rFonts w:eastAsia="&quot;Calibri&quot;,sans-serif" w:cs="Segoe UI"/>
          <w:lang w:eastAsia="en-NZ"/>
        </w:rPr>
        <w:fldChar w:fldCharType="separate"/>
      </w:r>
      <w:r w:rsidRPr="0007414B">
        <w:rPr>
          <w:rFonts w:eastAsia="&quot;Calibri&quot;,sans-serif" w:cs="Segoe UI"/>
          <w:lang w:eastAsia="en-NZ"/>
        </w:rPr>
        <w:t>(Te Whatu Ora 2023h)</w:t>
      </w:r>
      <w:r w:rsidRPr="0007414B">
        <w:rPr>
          <w:rFonts w:eastAsia="&quot;Calibri&quot;,sans-serif" w:cs="Segoe UI"/>
          <w:lang w:eastAsia="en-NZ"/>
        </w:rPr>
        <w:fldChar w:fldCharType="end"/>
      </w:r>
      <w:r w:rsidRPr="0007414B">
        <w:rPr>
          <w:rFonts w:eastAsia="&quot;Calibri&quot;,sans-serif" w:cs="Segoe UI"/>
          <w:lang w:eastAsia="en-NZ"/>
        </w:rPr>
        <w:t xml:space="preserve">. </w:t>
      </w:r>
      <w:r w:rsidRPr="0007414B">
        <w:rPr>
          <w:rFonts w:eastAsia="&quot;Calibri&quot;,sans-serif" w:cs="Segoe UI"/>
        </w:rPr>
        <w:t xml:space="preserve">Breast cancer screening is offered free every 2 years for women aged between 45 and 69 years </w:t>
      </w:r>
      <w:r w:rsidRPr="0007414B">
        <w:rPr>
          <w:rFonts w:eastAsia="&quot;Calibri&quot;,sans-serif" w:cs="Segoe UI"/>
        </w:rPr>
        <w:fldChar w:fldCharType="begin"/>
      </w:r>
      <w:r>
        <w:rPr>
          <w:rFonts w:eastAsia="&quot;Calibri&quot;,sans-serif" w:cs="Segoe UI"/>
        </w:rPr>
        <w:instrText xml:space="preserve"> ADDIN EN.CITE &lt;EndNote&gt;&lt;Cite&gt;&lt;Author&gt;National Screening Unit&lt;/Author&gt;&lt;Year&gt;2018&lt;/Year&gt;&lt;RecNum&gt;384&lt;/RecNum&gt;&lt;DisplayText&gt;(National Screening Unit 2018)&lt;/DisplayText&gt;&lt;record&gt;&lt;rec-number&gt;384&lt;/rec-number&gt;&lt;foreign-keys&gt;&lt;key app="EN" db-id="aaepvppzs5wtfse95vsp2wahsrtvva2vvdet" timestamp="1684472822"&gt;384&lt;/key&gt;&lt;/foreign-keys&gt;&lt;ref-type name="Web Page"&gt;12&lt;/ref-type&gt;&lt;contributors&gt;&lt;authors&gt;&lt;author&gt;National Screening Unit,&lt;/author&gt;&lt;/authors&gt;&lt;/contributors&gt;&lt;titles&gt;&lt;title&gt;BreastScreen Aotearoa&lt;/title&gt;&lt;/titles&gt;&lt;number&gt;18 May 2023&lt;/number&gt;&lt;dates&gt;&lt;year&gt;2018&lt;/year&gt;&lt;/dates&gt;&lt;urls&gt;&lt;related-urls&gt;&lt;url&gt;www.nsu.govt.nz/health-professionals/breastscreen-aotearoa&lt;/url&gt;&lt;/related-urls&gt;&lt;/urls&gt;&lt;/record&gt;&lt;/Cite&gt;&lt;/EndNote&gt;</w:instrText>
      </w:r>
      <w:r w:rsidRPr="0007414B">
        <w:rPr>
          <w:rFonts w:eastAsia="&quot;Calibri&quot;,sans-serif" w:cs="Segoe UI"/>
        </w:rPr>
        <w:fldChar w:fldCharType="separate"/>
      </w:r>
      <w:r w:rsidRPr="0007414B">
        <w:rPr>
          <w:rFonts w:eastAsia="&quot;Calibri&quot;,sans-serif" w:cs="Segoe UI"/>
          <w:noProof/>
        </w:rPr>
        <w:t>(National Screening Unit 2018)</w:t>
      </w:r>
      <w:r w:rsidRPr="0007414B">
        <w:rPr>
          <w:rFonts w:eastAsia="&quot;Calibri&quot;,sans-serif" w:cs="Segoe UI"/>
        </w:rPr>
        <w:fldChar w:fldCharType="end"/>
      </w:r>
      <w:r w:rsidRPr="0007414B">
        <w:rPr>
          <w:rFonts w:eastAsia="&quot;Calibri&quot;,sans-serif" w:cs="Segoe UI"/>
        </w:rPr>
        <w:t xml:space="preserve">. The breast screening coverage target is for 70% of eligible New Zealanders to be screened every 2 years. As at December 2022, the 2-year breast screening coverage was 65.1% </w:t>
      </w:r>
      <w:r w:rsidRPr="0007414B">
        <w:rPr>
          <w:rFonts w:eastAsia="&quot;Calibri&quot;,sans-serif" w:cs="Segoe UI"/>
        </w:rPr>
        <w:fldChar w:fldCharType="begin"/>
      </w:r>
      <w:r w:rsidRPr="0007414B">
        <w:rPr>
          <w:rFonts w:eastAsia="&quot;Calibri&quot;,sans-serif" w:cs="Segoe UI"/>
        </w:rPr>
        <w:instrText xml:space="preserve"> ADDIN EN.CITE &lt;EndNote&gt;&lt;Cite&gt;&lt;Author&gt;Te Whatu Ora&lt;/Author&gt;&lt;Year&gt;2023&lt;/Year&gt;&lt;RecNum&gt;317&lt;/RecNum&gt;&lt;DisplayText&gt;(Te Whatu Ora 2023c)&lt;/DisplayText&gt;&lt;record&gt;&lt;rec-number&gt;317&lt;/rec-number&gt;&lt;foreign-keys&gt;&lt;key app="EN" db-id="aaepvppzs5wtfse95vsp2wahsrtvva2vvdet" timestamp="1683257101"&gt;317&lt;/key&gt;&lt;/foreign-keys&gt;&lt;ref-type name="Web Page"&gt;12&lt;/ref-type&gt;&lt;contributors&gt;&lt;authors&gt;&lt;author&gt;Te Whatu Ora,&lt;/author&gt;&lt;/authors&gt;&lt;/contributors&gt;&lt;titles&gt;&lt;title&gt;BreastScreen Aotearoa interactive coverage data tool (Data file)&lt;/title&gt;&lt;/titles&gt;&lt;number&gt;28 April 2023&lt;/number&gt;&lt;dates&gt;&lt;year&gt;2023&lt;/year&gt;&lt;/dates&gt;&lt;urls&gt;&lt;related-urls&gt;&lt;url&gt;https://tewhatuora.shinyapps.io/nsu-bsa-coverage/&lt;/url&gt;&lt;/related-urls&gt;&lt;/urls&gt;&lt;/record&gt;&lt;/Cite&gt;&lt;/EndNote&gt;</w:instrText>
      </w:r>
      <w:r w:rsidRPr="0007414B">
        <w:rPr>
          <w:rFonts w:eastAsia="&quot;Calibri&quot;,sans-serif" w:cs="Segoe UI"/>
        </w:rPr>
        <w:fldChar w:fldCharType="separate"/>
      </w:r>
      <w:r w:rsidRPr="0007414B">
        <w:rPr>
          <w:rFonts w:eastAsia="&quot;Calibri&quot;,sans-serif" w:cs="Segoe UI"/>
        </w:rPr>
        <w:t>(Te Whatu Ora 2023c)</w:t>
      </w:r>
      <w:r w:rsidRPr="0007414B">
        <w:rPr>
          <w:rFonts w:eastAsia="&quot;Calibri&quot;,sans-serif" w:cs="Segoe UI"/>
        </w:rPr>
        <w:fldChar w:fldCharType="end"/>
      </w:r>
      <w:r w:rsidRPr="0007414B">
        <w:rPr>
          <w:rFonts w:eastAsia="&quot;Calibri&quot;,sans-serif" w:cs="Segoe UI"/>
        </w:rPr>
        <w:t xml:space="preserve">. </w:t>
      </w:r>
      <w:r w:rsidRPr="0007414B">
        <w:rPr>
          <w:rFonts w:eastAsia="&quot;Calibri&quot;,sans-serif" w:cs="Segoe UI"/>
        </w:rPr>
        <w:fldChar w:fldCharType="begin"/>
      </w:r>
      <w:r w:rsidRPr="0007414B">
        <w:rPr>
          <w:rFonts w:eastAsia="&quot;Calibri&quot;,sans-serif" w:cs="Segoe UI"/>
        </w:rPr>
        <w:instrText xml:space="preserve"> REF _Ref132640279 \h  \* MERGEFORMAT </w:instrText>
      </w:r>
      <w:r w:rsidRPr="0007414B">
        <w:rPr>
          <w:rFonts w:eastAsia="&quot;Calibri&quot;,sans-serif" w:cs="Segoe UI"/>
        </w:rPr>
      </w:r>
      <w:r w:rsidRPr="0007414B">
        <w:rPr>
          <w:rFonts w:eastAsia="&quot;Calibri&quot;,sans-serif" w:cs="Segoe UI"/>
        </w:rPr>
        <w:fldChar w:fldCharType="separate"/>
      </w:r>
      <w:r w:rsidR="00BE208D" w:rsidRPr="00BE208D">
        <w:rPr>
          <w:rFonts w:cs="Segoe UI"/>
        </w:rPr>
        <w:t>Figure 33</w:t>
      </w:r>
      <w:r w:rsidRPr="0007414B">
        <w:rPr>
          <w:rFonts w:eastAsia="&quot;Calibri&quot;,sans-serif" w:cs="Segoe UI"/>
        </w:rPr>
        <w:fldChar w:fldCharType="end"/>
      </w:r>
      <w:r w:rsidRPr="0007414B">
        <w:rPr>
          <w:rFonts w:eastAsia="&quot;Calibri&quot;,sans-serif" w:cs="Segoe UI"/>
        </w:rPr>
        <w:t xml:space="preserve"> shows screening rates remain lowest for Māori women at 59.2% and Pacific women at 63.5%. Rates for Pacific women were comparable to the rates for European/other women until 2020.</w:t>
      </w:r>
    </w:p>
    <w:p w14:paraId="07E53C6A" w14:textId="77777777" w:rsidR="00395CB9" w:rsidRPr="0007414B" w:rsidRDefault="00395CB9" w:rsidP="00395CB9">
      <w:pPr>
        <w:pStyle w:val="paragraph"/>
        <w:spacing w:before="0" w:beforeAutospacing="0" w:after="0" w:afterAutospacing="0"/>
        <w:rPr>
          <w:rFonts w:ascii="Segoe UI" w:eastAsia="&quot;Calibri&quot;,sans-serif" w:hAnsi="Segoe UI" w:cs="Segoe UI"/>
          <w:sz w:val="20"/>
          <w:szCs w:val="20"/>
        </w:rPr>
      </w:pPr>
    </w:p>
    <w:p w14:paraId="004B5C12" w14:textId="31055ACF" w:rsidR="00395CB9" w:rsidRPr="0007414B" w:rsidRDefault="00395CB9" w:rsidP="000E689C">
      <w:pPr>
        <w:pStyle w:val="Figure"/>
      </w:pPr>
      <w:bookmarkStart w:id="167" w:name="_Ref132640279"/>
      <w:bookmarkStart w:id="168" w:name="_Toc138326975"/>
      <w:bookmarkStart w:id="169" w:name="_Toc138409956"/>
      <w:r>
        <w:lastRenderedPageBreak/>
        <w:t xml:space="preserve">Figure </w:t>
      </w:r>
      <w:fldSimple w:instr=" SEQ Figure \* ARABIC ">
        <w:r w:rsidR="00BE208D">
          <w:rPr>
            <w:noProof/>
          </w:rPr>
          <w:t>33</w:t>
        </w:r>
      </w:fldSimple>
      <w:bookmarkEnd w:id="167"/>
      <w:r>
        <w:t>: Two-year breast screening coverage, women aged 45–69 years, by ethnic group, 2010–2022</w:t>
      </w:r>
      <w:bookmarkEnd w:id="168"/>
      <w:bookmarkEnd w:id="169"/>
    </w:p>
    <w:p w14:paraId="6617BC6F" w14:textId="77777777" w:rsidR="00395CB9" w:rsidRPr="0007414B" w:rsidRDefault="00395CB9" w:rsidP="00395CB9">
      <w:pPr>
        <w:rPr>
          <w:rFonts w:cs="Segoe UI"/>
        </w:rPr>
      </w:pPr>
      <w:r w:rsidRPr="0007414B">
        <w:rPr>
          <w:noProof/>
        </w:rPr>
        <w:drawing>
          <wp:inline distT="0" distB="0" distL="0" distR="0" wp14:anchorId="01F9D1EC" wp14:editId="6A8BDF23">
            <wp:extent cx="5136023" cy="2568012"/>
            <wp:effectExtent l="0" t="0" r="7620" b="3810"/>
            <wp:docPr id="1823296350" name="Picture 1823296350" descr="A timeseries line chart showing national breast screening rates by ethnic group between 2010 and 2022. Across the time series, Māori have the lowest rates, followed by either European/other or Pacific peoples. Between 2010 and 2019, screening rates for the total of all ethnic groups increased from 67.6%, before fluctuating around 71–72%. From 2020 onwards, screening rates generally declined, in 2022 they were 6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50" name="Picture 1823296350" descr="A timeseries line chart showing national breast screening rates by ethnic group between 2010 and 2022. Across the time series, Māori have the lowest rates, followed by either European/other or Pacific peoples. Between 2010 and 2019, screening rates for the total of all ethnic groups increased from 67.6%, before fluctuating around 71–72%. From 2020 onwards, screening rates generally declined, in 2022 they were 65.1%.&#1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46057" cy="2573029"/>
                    </a:xfrm>
                    <a:prstGeom prst="rect">
                      <a:avLst/>
                    </a:prstGeom>
                  </pic:spPr>
                </pic:pic>
              </a:graphicData>
            </a:graphic>
          </wp:inline>
        </w:drawing>
      </w:r>
    </w:p>
    <w:p w14:paraId="37A4DA60" w14:textId="77777777" w:rsidR="00395CB9" w:rsidRPr="0007414B" w:rsidRDefault="00395CB9" w:rsidP="00395CB9">
      <w:pPr>
        <w:rPr>
          <w:rFonts w:eastAsia="&quot;Calibri&quot;,sans-serif" w:cs="Segoe UI"/>
          <w:lang w:eastAsia="en-NZ"/>
        </w:rPr>
      </w:pPr>
    </w:p>
    <w:p w14:paraId="4A5A53E4" w14:textId="77777777" w:rsidR="00395CB9" w:rsidRPr="0007414B" w:rsidRDefault="00395CB9" w:rsidP="000E689C">
      <w:pPr>
        <w:pStyle w:val="Note"/>
        <w:rPr>
          <w:rFonts w:eastAsia="&quot;Calibri&quot;,sans-serif"/>
          <w:lang w:eastAsia="en-NZ"/>
        </w:rPr>
      </w:pPr>
      <w:r w:rsidRPr="0007414B">
        <w:rPr>
          <w:rFonts w:eastAsia="&quot;Calibri&quot;,sans-serif"/>
          <w:lang w:eastAsia="en-NZ"/>
        </w:rPr>
        <w:t>Note: Breast screening rates for the Asian ethnic group are included in the European/other group.</w:t>
      </w:r>
    </w:p>
    <w:p w14:paraId="06512274" w14:textId="77777777" w:rsidR="00395CB9" w:rsidRPr="000E689C" w:rsidRDefault="00395CB9" w:rsidP="000E689C">
      <w:pPr>
        <w:pStyle w:val="Source"/>
        <w:rPr>
          <w:rFonts w:eastAsia="&quot;Calibri&quot;,sans-serif"/>
        </w:rPr>
      </w:pPr>
      <w:r w:rsidRPr="000E689C">
        <w:rPr>
          <w:rFonts w:eastAsia="&quot;Calibri&quot;,sans-serif"/>
        </w:rPr>
        <w:t xml:space="preserve">Source: </w:t>
      </w:r>
      <w:hyperlink r:id="rId103" w:history="1">
        <w:r w:rsidRPr="000E689C">
          <w:rPr>
            <w:rStyle w:val="Hyperlink"/>
            <w:rFonts w:eastAsia="&quot;Calibri&quot;,sans-serif"/>
          </w:rPr>
          <w:t>Te Whatu Ora (2023c)</w:t>
        </w:r>
      </w:hyperlink>
    </w:p>
    <w:p w14:paraId="288D3496" w14:textId="77777777" w:rsidR="00395CB9" w:rsidRPr="0007414B" w:rsidRDefault="00395CB9" w:rsidP="00395CB9">
      <w:pPr>
        <w:pStyle w:val="Heading4"/>
      </w:pPr>
      <w:r w:rsidRPr="0007414B">
        <w:t xml:space="preserve">Cervical screening </w:t>
      </w:r>
    </w:p>
    <w:p w14:paraId="4C272526" w14:textId="77777777" w:rsidR="00395CB9" w:rsidRPr="0007414B" w:rsidRDefault="00395CB9" w:rsidP="000E689C">
      <w:pPr>
        <w:rPr>
          <w:rFonts w:eastAsia="&quot;Calibri&quot;,sans-serif"/>
          <w:lang w:eastAsia="en-NZ"/>
        </w:rPr>
      </w:pPr>
      <w:r w:rsidRPr="0007414B">
        <w:rPr>
          <w:rFonts w:eastAsia="&quot;Calibri&quot;,sans-serif"/>
          <w:lang w:eastAsia="en-NZ"/>
        </w:rPr>
        <w:t xml:space="preserve">The target for cervical screening coverage is for 80% of eligible New Zealanders to be screened every 3 years </w:t>
      </w:r>
      <w:r w:rsidRPr="0007414B">
        <w:rPr>
          <w:rFonts w:eastAsia="&quot;Calibri&quot;,sans-serif"/>
          <w:lang w:eastAsia="en-NZ"/>
        </w:rPr>
        <w:fldChar w:fldCharType="begin"/>
      </w:r>
      <w:r>
        <w:rPr>
          <w:rFonts w:eastAsia="&quot;Calibri&quot;,sans-serif"/>
          <w:lang w:eastAsia="en-NZ"/>
        </w:rPr>
        <w:instrText xml:space="preserve"> ADDIN EN.CITE &lt;EndNote&gt;&lt;Cite&gt;&lt;Author&gt;National Screening Unit&lt;/Author&gt;&lt;Year&gt;2022&lt;/Year&gt;&lt;RecNum&gt;385&lt;/RecNum&gt;&lt;DisplayText&gt;(National Screening Unit 2022)&lt;/DisplayText&gt;&lt;record&gt;&lt;rec-number&gt;385&lt;/rec-number&gt;&lt;foreign-keys&gt;&lt;key app="EN" db-id="aaepvppzs5wtfse95vsp2wahsrtvva2vvdet" timestamp="1684472976"&gt;385&lt;/key&gt;&lt;/foreign-keys&gt;&lt;ref-type name="Web Page"&gt;12&lt;/ref-type&gt;&lt;contributors&gt;&lt;authors&gt;&lt;author&gt;National Screening Unit,&lt;/author&gt;&lt;/authors&gt;&lt;/contributors&gt;&lt;titles&gt;&lt;title&gt;National Cervical Screening Programme&lt;/title&gt;&lt;/titles&gt;&lt;number&gt;18 May 2023&lt;/number&gt;&lt;dates&gt;&lt;year&gt;2022&lt;/year&gt;&lt;/dates&gt;&lt;urls&gt;&lt;related-urls&gt;&lt;url&gt;www.nsu.govt.nz/health-professionals/national-cervical-screening-programme&lt;/url&gt;&lt;/related-urls&gt;&lt;/urls&gt;&lt;/record&gt;&lt;/Cite&gt;&lt;/EndNote&gt;</w:instrText>
      </w:r>
      <w:r w:rsidRPr="0007414B">
        <w:rPr>
          <w:rFonts w:eastAsia="&quot;Calibri&quot;,sans-serif"/>
          <w:lang w:eastAsia="en-NZ"/>
        </w:rPr>
        <w:fldChar w:fldCharType="separate"/>
      </w:r>
      <w:r w:rsidRPr="0007414B">
        <w:rPr>
          <w:rFonts w:eastAsia="&quot;Calibri&quot;,sans-serif"/>
          <w:noProof/>
          <w:lang w:eastAsia="en-NZ"/>
        </w:rPr>
        <w:t>(National Screening Unit 2022)</w:t>
      </w:r>
      <w:r w:rsidRPr="0007414B">
        <w:rPr>
          <w:rFonts w:eastAsia="&quot;Calibri&quot;,sans-serif"/>
          <w:lang w:eastAsia="en-NZ"/>
        </w:rPr>
        <w:fldChar w:fldCharType="end"/>
      </w:r>
      <w:r w:rsidRPr="0007414B">
        <w:rPr>
          <w:rFonts w:eastAsia="&quot;Calibri&quot;,sans-serif"/>
          <w:lang w:eastAsia="en-NZ"/>
        </w:rPr>
        <w:t xml:space="preserve">. As at December 2022, the 3-year cervical screening coverage was 67.3% </w:t>
      </w:r>
      <w:r w:rsidRPr="0007414B">
        <w:rPr>
          <w:rFonts w:eastAsia="&quot;Calibri&quot;,sans-serif"/>
          <w:lang w:eastAsia="en-NZ"/>
        </w:rPr>
        <w:fldChar w:fldCharType="begin"/>
      </w:r>
      <w:r w:rsidRPr="0007414B">
        <w:rPr>
          <w:rFonts w:eastAsia="&quot;Calibri&quot;,sans-serif"/>
          <w:lang w:eastAsia="en-NZ"/>
        </w:rPr>
        <w:instrText xml:space="preserve"> ADDIN EN.CITE &lt;EndNote&gt;&lt;Cite&gt;&lt;Author&gt;Te Whatu Ora&lt;/Author&gt;&lt;Year&gt;2023&lt;/Year&gt;&lt;RecNum&gt;318&lt;/RecNum&gt;&lt;DisplayText&gt;(Te Whatu Ora 2023i)&lt;/DisplayText&gt;&lt;record&gt;&lt;rec-number&gt;318&lt;/rec-number&gt;&lt;foreign-keys&gt;&lt;key app="EN" db-id="aaepvppzs5wtfse95vsp2wahsrtvva2vvdet" timestamp="1683257321"&gt;318&lt;/key&gt;&lt;/foreign-keys&gt;&lt;ref-type name="Web Page"&gt;12&lt;/ref-type&gt;&lt;contributors&gt;&lt;authors&gt;&lt;author&gt;Te Whatu Ora,&lt;/author&gt;&lt;/authors&gt;&lt;/contributors&gt;&lt;titles&gt;&lt;title&gt;National Cervical Screening Programme interactive coverage data tool (Data file)&lt;/title&gt;&lt;/titles&gt;&lt;number&gt;28 April 2023&lt;/number&gt;&lt;dates&gt;&lt;year&gt;2023&lt;/year&gt;&lt;/dates&gt;&lt;urls&gt;&lt;related-urls&gt;&lt;url&gt;https://tewhatuora.shinyapps.io/nsu-ncsp-coverage/&lt;/url&gt;&lt;/related-urls&gt;&lt;/urls&gt;&lt;/record&gt;&lt;/Cite&gt;&lt;/EndNote&gt;</w:instrText>
      </w:r>
      <w:r w:rsidRPr="0007414B">
        <w:rPr>
          <w:rFonts w:eastAsia="&quot;Calibri&quot;,sans-serif"/>
          <w:lang w:eastAsia="en-NZ"/>
        </w:rPr>
        <w:fldChar w:fldCharType="separate"/>
      </w:r>
      <w:r w:rsidRPr="0007414B">
        <w:rPr>
          <w:rFonts w:eastAsia="&quot;Calibri&quot;,sans-serif"/>
          <w:lang w:eastAsia="en-NZ"/>
        </w:rPr>
        <w:t>(Te Whatu Ora 2023i)</w:t>
      </w:r>
      <w:r w:rsidRPr="0007414B">
        <w:rPr>
          <w:rFonts w:eastAsia="&quot;Calibri&quot;,sans-serif"/>
          <w:lang w:eastAsia="en-NZ"/>
        </w:rPr>
        <w:fldChar w:fldCharType="end"/>
      </w:r>
      <w:r w:rsidRPr="0007414B">
        <w:rPr>
          <w:rFonts w:eastAsia="&quot;Calibri&quot;,sans-serif"/>
          <w:lang w:eastAsia="en-NZ"/>
        </w:rPr>
        <w:t>. From July 2023, the primary test for cervical screening for eligible participants will change</w:t>
      </w:r>
      <w:r w:rsidRPr="0007414B" w:rsidDel="007E6DDF">
        <w:rPr>
          <w:rFonts w:eastAsia="&quot;Calibri&quot;,sans-serif"/>
          <w:lang w:eastAsia="en-NZ"/>
        </w:rPr>
        <w:t xml:space="preserve"> </w:t>
      </w:r>
      <w:r w:rsidRPr="0007414B">
        <w:rPr>
          <w:rFonts w:eastAsia="&quot;Calibri&quot;,sans-serif"/>
          <w:lang w:eastAsia="en-NZ"/>
        </w:rPr>
        <w:t>from liquid-based cytology (LBC) speculum screening (previously known as a cervical smear test) to an HPV test as the primary screening method of cervical cancer. The</w:t>
      </w:r>
      <w:r w:rsidRPr="0007414B" w:rsidDel="007E6DDF">
        <w:rPr>
          <w:rFonts w:eastAsia="&quot;Calibri&quot;,sans-serif"/>
          <w:lang w:eastAsia="en-NZ"/>
        </w:rPr>
        <w:t xml:space="preserve"> </w:t>
      </w:r>
      <w:r w:rsidRPr="0007414B">
        <w:rPr>
          <w:rFonts w:eastAsia="&quot;Calibri&quot;,sans-serif"/>
          <w:lang w:eastAsia="en-NZ"/>
        </w:rPr>
        <w:t>aim of implementing HPV testing is to reduce barriers to screening for Māori and Pacific peoples and support equitable access. The new HPV screening programme will introduce the option of self-testing and lengthen the screening cycle to every 5 years. </w:t>
      </w:r>
    </w:p>
    <w:p w14:paraId="14C907A9" w14:textId="77777777" w:rsidR="00395CB9" w:rsidRPr="0007414B" w:rsidRDefault="00395CB9" w:rsidP="000E689C">
      <w:pPr>
        <w:rPr>
          <w:rFonts w:eastAsia="&quot;Calibri&quot;,sans-serif"/>
          <w:szCs w:val="21"/>
          <w:lang w:eastAsia="en-NZ"/>
        </w:rPr>
      </w:pPr>
    </w:p>
    <w:p w14:paraId="7F37A499" w14:textId="0DF00A47" w:rsidR="00395CB9" w:rsidRPr="0007414B" w:rsidRDefault="00395CB9" w:rsidP="000E689C">
      <w:pPr>
        <w:rPr>
          <w:rFonts w:eastAsia="&quot;Calibri&quot;,sans-serif"/>
          <w:lang w:eastAsia="en-NZ"/>
        </w:rPr>
      </w:pPr>
      <w:r w:rsidRPr="0007414B">
        <w:rPr>
          <w:rFonts w:eastAsia="&quot;Calibri&quot;,sans-serif"/>
          <w:lang w:eastAsia="en-NZ"/>
        </w:rPr>
        <w:fldChar w:fldCharType="begin"/>
      </w:r>
      <w:r w:rsidRPr="0007414B">
        <w:rPr>
          <w:rFonts w:eastAsia="&quot;Calibri&quot;,sans-serif"/>
          <w:lang w:eastAsia="en-NZ"/>
        </w:rPr>
        <w:instrText xml:space="preserve"> REF _Ref132640316 \h  \* MERGEFORMAT </w:instrText>
      </w:r>
      <w:r w:rsidRPr="0007414B">
        <w:rPr>
          <w:rFonts w:eastAsia="&quot;Calibri&quot;,sans-serif"/>
          <w:lang w:eastAsia="en-NZ"/>
        </w:rPr>
      </w:r>
      <w:r w:rsidRPr="0007414B">
        <w:rPr>
          <w:rFonts w:eastAsia="&quot;Calibri&quot;,sans-serif"/>
          <w:lang w:eastAsia="en-NZ"/>
        </w:rPr>
        <w:fldChar w:fldCharType="separate"/>
      </w:r>
      <w:r w:rsidR="00BE208D">
        <w:t>Figure 34</w:t>
      </w:r>
      <w:r w:rsidRPr="0007414B">
        <w:rPr>
          <w:rFonts w:eastAsia="&quot;Calibri&quot;,sans-serif"/>
          <w:lang w:eastAsia="en-NZ"/>
        </w:rPr>
        <w:fldChar w:fldCharType="end"/>
      </w:r>
      <w:r w:rsidRPr="0007414B">
        <w:rPr>
          <w:rFonts w:eastAsia="&quot;Calibri&quot;,sans-serif"/>
          <w:lang w:eastAsia="en-NZ"/>
        </w:rPr>
        <w:t xml:space="preserve"> shows the national cervical screening rates have been decreasing for all population groups since before 2016. The sharpest decreases are for Māori and Pacific peoples.</w:t>
      </w:r>
    </w:p>
    <w:p w14:paraId="14B2895B" w14:textId="76B6F4F5" w:rsidR="00395CB9" w:rsidRPr="0007414B" w:rsidRDefault="00395CB9" w:rsidP="000E689C">
      <w:pPr>
        <w:pStyle w:val="Figure"/>
      </w:pPr>
      <w:bookmarkStart w:id="170" w:name="_Ref132640316"/>
      <w:bookmarkStart w:id="171" w:name="_Toc138326976"/>
      <w:bookmarkStart w:id="172" w:name="_Toc138409957"/>
      <w:r>
        <w:lastRenderedPageBreak/>
        <w:t xml:space="preserve">Figure </w:t>
      </w:r>
      <w:fldSimple w:instr=" SEQ Figure \* ARABIC ">
        <w:r w:rsidR="00BE208D">
          <w:rPr>
            <w:noProof/>
          </w:rPr>
          <w:t>34</w:t>
        </w:r>
      </w:fldSimple>
      <w:bookmarkEnd w:id="170"/>
      <w:r>
        <w:t>: Three-year cervical screening coverage, women aged 25–69 years, by ethnic group, 2008–2022</w:t>
      </w:r>
      <w:bookmarkEnd w:id="171"/>
      <w:bookmarkEnd w:id="172"/>
    </w:p>
    <w:p w14:paraId="204C20A2" w14:textId="77777777" w:rsidR="00395CB9" w:rsidRPr="0007414B" w:rsidRDefault="00395CB9" w:rsidP="00395CB9">
      <w:pPr>
        <w:shd w:val="clear" w:color="auto" w:fill="FFFFFF" w:themeFill="background1"/>
        <w:rPr>
          <w:rFonts w:eastAsia="&quot;Calibri&quot;,sans-serif" w:cs="Segoe UI"/>
          <w:sz w:val="20"/>
          <w:lang w:eastAsia="en-NZ"/>
        </w:rPr>
      </w:pPr>
      <w:r w:rsidRPr="0007414B">
        <w:rPr>
          <w:noProof/>
        </w:rPr>
        <w:drawing>
          <wp:inline distT="0" distB="0" distL="0" distR="0" wp14:anchorId="09E4EAE6" wp14:editId="256EDFD4">
            <wp:extent cx="5136022" cy="2568011"/>
            <wp:effectExtent l="0" t="0" r="7620" b="3810"/>
            <wp:docPr id="1823296351" name="Picture 1823296351" descr="A timeseries line chart showing cervical screening rates between 2008 and 2022. Throughout the series, screening rates were highest for European/other ethnic group, and until 2020, lowest for the Asian ethnic group. Since 2020, rates for Māori, followed by Pacific peoples have been lowest. Total coverage remained between 70–80% from 2008 until 2019. Coverage dropped below 70% from 2020 onw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96351" name="Picture 1823296351" descr="A timeseries line chart showing cervical screening rates between 2008 and 2022. Throughout the series, screening rates were highest for European/other ethnic group, and until 2020, lowest for the Asian ethnic group. Since 2020, rates for Māori, followed by Pacific peoples have been lowest. Total coverage remained between 70–80% from 2008 until 2019. Coverage dropped below 70% from 2020 onwards.&#1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147520" cy="2573760"/>
                    </a:xfrm>
                    <a:prstGeom prst="rect">
                      <a:avLst/>
                    </a:prstGeom>
                  </pic:spPr>
                </pic:pic>
              </a:graphicData>
            </a:graphic>
          </wp:inline>
        </w:drawing>
      </w:r>
    </w:p>
    <w:p w14:paraId="238C9FA6" w14:textId="77777777" w:rsidR="00395CB9" w:rsidRPr="000E689C" w:rsidRDefault="00395CB9" w:rsidP="000E689C">
      <w:pPr>
        <w:pStyle w:val="Source"/>
        <w:rPr>
          <w:rFonts w:eastAsia="&quot;Calibri&quot;,sans-serif"/>
        </w:rPr>
      </w:pPr>
      <w:r w:rsidRPr="000E689C">
        <w:rPr>
          <w:rFonts w:eastAsia="&quot;Calibri&quot;,sans-serif"/>
        </w:rPr>
        <w:t xml:space="preserve">Source: </w:t>
      </w:r>
      <w:hyperlink r:id="rId105" w:history="1">
        <w:r w:rsidRPr="000E689C">
          <w:rPr>
            <w:rStyle w:val="Hyperlink"/>
            <w:rFonts w:eastAsia="&quot;Calibri&quot;,sans-serif"/>
          </w:rPr>
          <w:t>Te Whatu Ora (2023i)</w:t>
        </w:r>
      </w:hyperlink>
    </w:p>
    <w:p w14:paraId="6B5D1B10" w14:textId="77777777" w:rsidR="00395CB9" w:rsidRPr="0007414B" w:rsidRDefault="00395CB9" w:rsidP="00395CB9">
      <w:pPr>
        <w:pStyle w:val="Heading4"/>
      </w:pPr>
      <w:r w:rsidRPr="0007414B">
        <w:t>Bowel screening</w:t>
      </w:r>
    </w:p>
    <w:p w14:paraId="6DE41DA2" w14:textId="77777777" w:rsidR="00395CB9" w:rsidRPr="0007414B" w:rsidRDefault="00395CB9" w:rsidP="000E689C">
      <w:pPr>
        <w:rPr>
          <w:lang w:eastAsia="en-NZ"/>
        </w:rPr>
      </w:pPr>
      <w:r w:rsidRPr="0007414B">
        <w:rPr>
          <w:lang w:eastAsia="en-NZ"/>
        </w:rPr>
        <w:t xml:space="preserve">Bowel cancer, also called colon, rectal or colorectal cancer, is the second-highest cause of cancer death in Aotearoa New Zealand </w:t>
      </w:r>
      <w:r w:rsidRPr="0007414B">
        <w:rPr>
          <w:lang w:eastAsia="en-NZ"/>
        </w:rPr>
        <w:fldChar w:fldCharType="begin"/>
      </w:r>
      <w:r>
        <w:rPr>
          <w:lang w:eastAsia="en-NZ"/>
        </w:rPr>
        <w:instrText xml:space="preserve"> ADDIN EN.CITE &lt;EndNote&gt;&lt;Cite&gt;&lt;Author&gt;Manatū Hauora&lt;/Author&gt;&lt;Year&gt;2023&lt;/Year&gt;&lt;RecNum&gt;371&lt;/RecNum&gt;&lt;DisplayText&gt;(Manatū Hauora 2023i)&lt;/DisplayText&gt;&lt;record&gt;&lt;rec-number&gt;371&lt;/rec-number&gt;&lt;foreign-keys&gt;&lt;key app="EN" db-id="aaepvppzs5wtfse95vsp2wahsrtvva2vvdet" timestamp="1684210246"&gt;371&lt;/key&gt;&lt;/foreign-keys&gt;&lt;ref-type name="Web Page"&gt;12&lt;/ref-type&gt;&lt;contributors&gt;&lt;authors&gt;&lt;author&gt;&lt;style face="normal" font="default" size="100%"&gt;Manat&lt;/style&gt;&lt;style face="normal" font="default" charset="238" size="100%"&gt;ū Hauora,&lt;/style&gt;&lt;/author&gt;&lt;/authors&gt;&lt;/contributors&gt;&lt;titles&gt;&lt;title&gt;National Bowel Screening Programme&lt;/title&gt;&lt;/titles&gt;&lt;number&gt;11 May 2023&lt;/number&gt;&lt;dates&gt;&lt;year&gt;2023&lt;/year&gt;&lt;/dates&gt;&lt;urls&gt;&lt;related-urls&gt;&lt;url&gt;www.health.govt.nz/our-work/preventative-health-wellness/screening/national-bowel-screening-programme&lt;/url&gt;&lt;/related-urls&gt;&lt;/urls&gt;&lt;/record&gt;&lt;/Cite&gt;&lt;/EndNote&gt;</w:instrText>
      </w:r>
      <w:r w:rsidRPr="0007414B">
        <w:rPr>
          <w:lang w:eastAsia="en-NZ"/>
        </w:rPr>
        <w:fldChar w:fldCharType="separate"/>
      </w:r>
      <w:r w:rsidRPr="0007414B">
        <w:rPr>
          <w:noProof/>
          <w:lang w:eastAsia="en-NZ"/>
        </w:rPr>
        <w:t>(Manatū Hauora 2023i)</w:t>
      </w:r>
      <w:r w:rsidRPr="0007414B">
        <w:rPr>
          <w:lang w:eastAsia="en-NZ"/>
        </w:rPr>
        <w:fldChar w:fldCharType="end"/>
      </w:r>
      <w:r w:rsidRPr="0007414B">
        <w:rPr>
          <w:lang w:eastAsia="en-NZ"/>
        </w:rPr>
        <w:t xml:space="preserve">. Around 3,000 New Zealanders are diagnosed with bowel cancer and more than 1,200 die from it every year. </w:t>
      </w:r>
    </w:p>
    <w:p w14:paraId="6351D48C" w14:textId="77777777" w:rsidR="00395CB9" w:rsidRPr="0007414B" w:rsidRDefault="00395CB9" w:rsidP="000E689C">
      <w:pPr>
        <w:rPr>
          <w:lang w:eastAsia="en-NZ"/>
        </w:rPr>
      </w:pPr>
    </w:p>
    <w:p w14:paraId="5553F312" w14:textId="77777777" w:rsidR="00395CB9" w:rsidRPr="0007414B" w:rsidRDefault="00395CB9" w:rsidP="000E689C">
      <w:pPr>
        <w:rPr>
          <w:lang w:eastAsia="en-NZ"/>
        </w:rPr>
      </w:pPr>
      <w:r w:rsidRPr="0007414B">
        <w:rPr>
          <w:lang w:eastAsia="en-NZ"/>
        </w:rPr>
        <w:t xml:space="preserve">The free National Bowel Screening Programme (NBSP) is for people aged 60–74 years </w:t>
      </w:r>
      <w:r w:rsidRPr="0007414B">
        <w:rPr>
          <w:lang w:eastAsia="en-NZ"/>
        </w:rPr>
        <w:fldChar w:fldCharType="begin"/>
      </w:r>
      <w:r>
        <w:rPr>
          <w:lang w:eastAsia="en-NZ"/>
        </w:rPr>
        <w:instrText xml:space="preserve"> ADDIN EN.CITE &lt;EndNote&gt;&lt;Cite&gt;&lt;Author&gt;National Screening Unit&lt;/Author&gt;&lt;Year&gt;2023&lt;/Year&gt;&lt;RecNum&gt;386&lt;/RecNum&gt;&lt;DisplayText&gt;(National Screening Unit 2023)&lt;/DisplayText&gt;&lt;record&gt;&lt;rec-number&gt;386&lt;/rec-number&gt;&lt;foreign-keys&gt;&lt;key app="EN" db-id="aaepvppzs5wtfse95vsp2wahsrtvva2vvdet" timestamp="1684473553"&gt;386&lt;/key&gt;&lt;/foreign-keys&gt;&lt;ref-type name="Web Page"&gt;12&lt;/ref-type&gt;&lt;contributors&gt;&lt;authors&gt;&lt;author&gt;National Screening Unit,&lt;/author&gt;&lt;/authors&gt;&lt;/contributors&gt;&lt;titles&gt;&lt;title&gt;National Bowel Screening Programme&lt;/title&gt;&lt;/titles&gt;&lt;number&gt;18 May 2023&lt;/number&gt;&lt;dates&gt;&lt;year&gt;2023&lt;/year&gt;&lt;/dates&gt;&lt;urls&gt;&lt;related-urls&gt;&lt;url&gt;www.nsu.govt.nz/health-professionals/national-bowel-screening-programme&lt;/url&gt;&lt;/related-urls&gt;&lt;/urls&gt;&lt;/record&gt;&lt;/Cite&gt;&lt;/EndNote&gt;</w:instrText>
      </w:r>
      <w:r w:rsidRPr="0007414B">
        <w:rPr>
          <w:lang w:eastAsia="en-NZ"/>
        </w:rPr>
        <w:fldChar w:fldCharType="separate"/>
      </w:r>
      <w:r w:rsidRPr="0007414B">
        <w:rPr>
          <w:noProof/>
          <w:lang w:eastAsia="en-NZ"/>
        </w:rPr>
        <w:t>(National Screening Unit 2023)</w:t>
      </w:r>
      <w:r w:rsidRPr="0007414B">
        <w:rPr>
          <w:lang w:eastAsia="en-NZ"/>
        </w:rPr>
        <w:fldChar w:fldCharType="end"/>
      </w:r>
      <w:r w:rsidRPr="0007414B">
        <w:rPr>
          <w:lang w:eastAsia="en-NZ"/>
        </w:rPr>
        <w:t>. The programme roll-out began in July 2017 and was completed in June 2022. The programme invites about 835,000 people for screening every 2 years. A COVID catch-up text campaign is being implemented, alongside other initiatives designed to increase participation for Māori and Pacific peoples. The Waikato district is piloting extending the age of Māori and Pacific peoples participating in the NBSP to 50–59 years</w:t>
      </w:r>
      <w:r w:rsidRPr="0007414B" w:rsidDel="003F6F3D">
        <w:rPr>
          <w:lang w:eastAsia="en-NZ"/>
        </w:rPr>
        <w:t xml:space="preserve">, </w:t>
      </w:r>
      <w:r w:rsidRPr="0007414B">
        <w:rPr>
          <w:lang w:eastAsia="en-NZ"/>
        </w:rPr>
        <w:t>with a view to starting the roll-out to the rest of the country in late 2023. </w:t>
      </w:r>
    </w:p>
    <w:p w14:paraId="10A0EF2E" w14:textId="77777777" w:rsidR="00395CB9" w:rsidRPr="0007414B" w:rsidRDefault="00395CB9" w:rsidP="000E689C">
      <w:pPr>
        <w:rPr>
          <w:szCs w:val="21"/>
          <w:lang w:eastAsia="en-NZ"/>
        </w:rPr>
      </w:pPr>
    </w:p>
    <w:p w14:paraId="090471EF" w14:textId="641EA703" w:rsidR="00395CB9" w:rsidRPr="0007414B" w:rsidRDefault="00395CB9" w:rsidP="000E689C">
      <w:pPr>
        <w:rPr>
          <w:lang w:eastAsia="en-NZ"/>
        </w:rPr>
      </w:pPr>
      <w:r w:rsidRPr="0007414B">
        <w:rPr>
          <w:lang w:eastAsia="en-NZ"/>
        </w:rPr>
        <w:t xml:space="preserve">The NBSP participation target is 60% overall and for each ethnic group </w:t>
      </w:r>
      <w:r w:rsidRPr="0007414B">
        <w:rPr>
          <w:lang w:eastAsia="en-NZ"/>
        </w:rPr>
        <w:fldChar w:fldCharType="begin"/>
      </w:r>
      <w:r>
        <w:rPr>
          <w:lang w:eastAsia="en-NZ"/>
        </w:rPr>
        <w:instrText xml:space="preserve"> ADDIN EN.CITE &lt;EndNote&gt;&lt;Cite&gt;&lt;Author&gt;National Screening Unit&lt;/Author&gt;&lt;Year&gt;2023&lt;/Year&gt;&lt;RecNum&gt;386&lt;/RecNum&gt;&lt;DisplayText&gt;(National Screening Unit 2023)&lt;/DisplayText&gt;&lt;record&gt;&lt;rec-number&gt;386&lt;/rec-number&gt;&lt;foreign-keys&gt;&lt;key app="EN" db-id="aaepvppzs5wtfse95vsp2wahsrtvva2vvdet" timestamp="1684473553"&gt;386&lt;/key&gt;&lt;/foreign-keys&gt;&lt;ref-type name="Web Page"&gt;12&lt;/ref-type&gt;&lt;contributors&gt;&lt;authors&gt;&lt;author&gt;National Screening Unit,&lt;/author&gt;&lt;/authors&gt;&lt;/contributors&gt;&lt;titles&gt;&lt;title&gt;National Bowel Screening Programme&lt;/title&gt;&lt;/titles&gt;&lt;number&gt;18 May 2023&lt;/number&gt;&lt;dates&gt;&lt;year&gt;2023&lt;/year&gt;&lt;/dates&gt;&lt;urls&gt;&lt;related-urls&gt;&lt;url&gt;www.nsu.govt.nz/health-professionals/national-bowel-screening-programme&lt;/url&gt;&lt;/related-urls&gt;&lt;/urls&gt;&lt;/record&gt;&lt;/Cite&gt;&lt;/EndNote&gt;</w:instrText>
      </w:r>
      <w:r w:rsidRPr="0007414B">
        <w:rPr>
          <w:lang w:eastAsia="en-NZ"/>
        </w:rPr>
        <w:fldChar w:fldCharType="separate"/>
      </w:r>
      <w:r w:rsidRPr="0007414B">
        <w:rPr>
          <w:noProof/>
          <w:lang w:eastAsia="en-NZ"/>
        </w:rPr>
        <w:t>(National Screening Unit 2023)</w:t>
      </w:r>
      <w:r w:rsidRPr="0007414B">
        <w:rPr>
          <w:lang w:eastAsia="en-NZ"/>
        </w:rPr>
        <w:fldChar w:fldCharType="end"/>
      </w:r>
      <w:r w:rsidRPr="0007414B">
        <w:rPr>
          <w:lang w:eastAsia="en-NZ"/>
        </w:rPr>
        <w:t xml:space="preserve">. Before the COVID-19 pandemic, in the 2020 calendar year, participation was 61.5% overall, 54.9% for Māori and 41.9% for Pacific peoples. In the 2022 calendar year, participation had decreased to 57.9% overall, 48.4% for Māori and 39.0% for Pacific peoples. </w:t>
      </w:r>
      <w:r w:rsidRPr="0007414B">
        <w:rPr>
          <w:lang w:eastAsia="en-NZ"/>
        </w:rPr>
        <w:fldChar w:fldCharType="begin"/>
      </w:r>
      <w:r w:rsidRPr="0007414B">
        <w:rPr>
          <w:lang w:eastAsia="en-NZ"/>
        </w:rPr>
        <w:instrText xml:space="preserve"> REF _Ref132640376 \h  \* MERGEFORMAT </w:instrText>
      </w:r>
      <w:r w:rsidRPr="0007414B">
        <w:rPr>
          <w:lang w:eastAsia="en-NZ"/>
        </w:rPr>
      </w:r>
      <w:r w:rsidRPr="0007414B">
        <w:rPr>
          <w:lang w:eastAsia="en-NZ"/>
        </w:rPr>
        <w:fldChar w:fldCharType="separate"/>
      </w:r>
      <w:r w:rsidR="00BE208D">
        <w:t>Figure 35</w:t>
      </w:r>
      <w:r w:rsidRPr="0007414B">
        <w:rPr>
          <w:lang w:eastAsia="en-NZ"/>
        </w:rPr>
        <w:fldChar w:fldCharType="end"/>
      </w:r>
      <w:r w:rsidRPr="0007414B">
        <w:rPr>
          <w:lang w:eastAsia="en-NZ"/>
        </w:rPr>
        <w:t xml:space="preserve"> shows these trends. </w:t>
      </w:r>
    </w:p>
    <w:p w14:paraId="0A939679" w14:textId="77777777" w:rsidR="00395CB9" w:rsidRPr="0007414B" w:rsidRDefault="00395CB9" w:rsidP="00395CB9">
      <w:pPr>
        <w:spacing w:after="160" w:line="259" w:lineRule="auto"/>
        <w:rPr>
          <w:rFonts w:cs="Segoe UI"/>
          <w:szCs w:val="21"/>
          <w:lang w:eastAsia="en-NZ"/>
        </w:rPr>
      </w:pPr>
      <w:r w:rsidRPr="0007414B">
        <w:rPr>
          <w:rFonts w:cs="Segoe UI"/>
          <w:szCs w:val="21"/>
          <w:lang w:eastAsia="en-NZ"/>
        </w:rPr>
        <w:br w:type="page"/>
      </w:r>
    </w:p>
    <w:p w14:paraId="5B005FB8" w14:textId="0A57DCF1" w:rsidR="00395CB9" w:rsidRPr="0007414B" w:rsidRDefault="00395CB9" w:rsidP="000E689C">
      <w:pPr>
        <w:pStyle w:val="Figure"/>
      </w:pPr>
      <w:bookmarkStart w:id="173" w:name="_Ref132640376"/>
      <w:bookmarkStart w:id="174" w:name="_Toc138326977"/>
      <w:bookmarkStart w:id="175" w:name="_Toc138409958"/>
      <w:r>
        <w:lastRenderedPageBreak/>
        <w:t xml:space="preserve">Figure </w:t>
      </w:r>
      <w:fldSimple w:instr=" SEQ Figure \* ARABIC ">
        <w:r w:rsidR="00BE208D">
          <w:rPr>
            <w:noProof/>
          </w:rPr>
          <w:t>35</w:t>
        </w:r>
      </w:fldSimple>
      <w:bookmarkEnd w:id="173"/>
      <w:r>
        <w:t>: Two-year bowel screening coverage, people aged 60–74 years, by ethnic group, 2018–2022</w:t>
      </w:r>
      <w:bookmarkEnd w:id="174"/>
      <w:bookmarkEnd w:id="175"/>
    </w:p>
    <w:p w14:paraId="386505CA" w14:textId="77777777" w:rsidR="00395CB9" w:rsidRPr="0007414B" w:rsidRDefault="00395CB9" w:rsidP="00395CB9">
      <w:pPr>
        <w:rPr>
          <w:rFonts w:cs="Segoe UI"/>
          <w:color w:val="333333"/>
          <w:lang w:eastAsia="en-NZ"/>
        </w:rPr>
      </w:pPr>
      <w:r w:rsidRPr="0007414B">
        <w:rPr>
          <w:noProof/>
        </w:rPr>
        <w:drawing>
          <wp:inline distT="0" distB="0" distL="0" distR="0" wp14:anchorId="56B181D8" wp14:editId="6FD877C5">
            <wp:extent cx="5139558" cy="2569780"/>
            <wp:effectExtent l="0" t="0" r="4445" b="2540"/>
            <wp:docPr id="1695314848" name="Picture 1695314848" descr="A timeseries line chart showing bowel screening rates by ethnic group between 2018 and 2022. Throughout the series, screening rates were highest for European/other, followed by Māori, Asian, and then Pacific peoples. Over the timeseries, screening rates have fluctuated from 62.3% in 2019 to 57.9%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48" name="Picture 1695314848" descr="A timeseries line chart showing bowel screening rates by ethnic group between 2018 and 2022. Throughout the series, screening rates were highest for European/other, followed by Māori, Asian, and then Pacific peoples. Over the timeseries, screening rates have fluctuated from 62.3% in 2019 to 57.9% in 2022.&#1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155339" cy="2577671"/>
                    </a:xfrm>
                    <a:prstGeom prst="rect">
                      <a:avLst/>
                    </a:prstGeom>
                  </pic:spPr>
                </pic:pic>
              </a:graphicData>
            </a:graphic>
          </wp:inline>
        </w:drawing>
      </w:r>
    </w:p>
    <w:p w14:paraId="169BD819" w14:textId="77777777" w:rsidR="00395CB9" w:rsidRPr="000E689C" w:rsidRDefault="00395CB9" w:rsidP="000E689C">
      <w:pPr>
        <w:pStyle w:val="Source"/>
      </w:pPr>
      <w:r w:rsidRPr="000E689C">
        <w:t>Source: Te Whatu Ora unpublished data (2023)</w:t>
      </w:r>
    </w:p>
    <w:p w14:paraId="789E5749" w14:textId="77777777" w:rsidR="00395CB9" w:rsidRPr="0007414B" w:rsidRDefault="00395CB9" w:rsidP="000E689C">
      <w:pPr>
        <w:pStyle w:val="Heading3"/>
      </w:pPr>
      <w:r w:rsidRPr="0007414B">
        <w:t>Hospital (specialist) services</w:t>
      </w:r>
    </w:p>
    <w:p w14:paraId="6D8777CA" w14:textId="77777777" w:rsidR="00395CB9" w:rsidRPr="0007414B" w:rsidRDefault="00395CB9" w:rsidP="00395CB9">
      <w:pPr>
        <w:rPr>
          <w:rFonts w:cs="Segoe UI"/>
          <w:lang w:eastAsia="en-NZ"/>
        </w:rPr>
      </w:pPr>
      <w:r w:rsidRPr="0007414B">
        <w:rPr>
          <w:rFonts w:cs="Segoe UI"/>
          <w:lang w:eastAsia="en-NZ"/>
        </w:rPr>
        <w:t>Public hospitals in Aotearoa New Zealand provide services in both acute care and planned care (non-acute, traditionally known as elective care</w:t>
      </w:r>
      <w:r>
        <w:rPr>
          <w:rFonts w:cs="Segoe UI"/>
          <w:lang w:eastAsia="en-NZ"/>
        </w:rPr>
        <w:t>;</w:t>
      </w:r>
      <w:r w:rsidRPr="0007414B">
        <w:rPr>
          <w:rFonts w:cs="Segoe UI"/>
          <w:lang w:eastAsia="en-NZ"/>
        </w:rPr>
        <w:t xml:space="preserve"> </w:t>
      </w:r>
      <w:r w:rsidRPr="0007414B">
        <w:rPr>
          <w:rFonts w:cs="Segoe UI"/>
          <w:lang w:eastAsia="en-NZ"/>
        </w:rPr>
        <w:fldChar w:fldCharType="begin"/>
      </w:r>
      <w:r>
        <w:rPr>
          <w:rFonts w:cs="Segoe UI"/>
          <w:lang w:eastAsia="en-NZ"/>
        </w:rPr>
        <w:instrText xml:space="preserve"> ADDIN EN.CITE &lt;EndNote&gt;&lt;Cite&gt;&lt;Author&gt;Te Whatu Ora&lt;/Author&gt;&lt;Year&gt;2023&lt;/Year&gt;&lt;RecNum&gt;319&lt;/RecNum&gt;&lt;DisplayText&gt;(Te Whatu Ora 2023m)&lt;/DisplayText&gt;&lt;record&gt;&lt;rec-number&gt;319&lt;/rec-number&gt;&lt;foreign-keys&gt;&lt;key app="EN" db-id="aaepvppzs5wtfse95vsp2wahsrtvva2vvdet" timestamp="1683257426"&gt;319&lt;/key&gt;&lt;/foreign-keys&gt;&lt;ref-type name="Web Page"&gt;12&lt;/ref-type&gt;&lt;contributors&gt;&lt;authors&gt;&lt;author&gt;Te Whatu Ora,&lt;/author&gt;&lt;/authors&gt;&lt;/contributors&gt;&lt;titles&gt;&lt;title&gt;Public hospitals&lt;/title&gt;&lt;/titles&gt;&lt;number&gt;5 May 2023&lt;/number&gt;&lt;dates&gt;&lt;year&gt;2023&lt;/year&gt;&lt;/dates&gt;&lt;urls&gt;&lt;related-urls&gt;&lt;url&gt;www.tewhatuora.govt.nz/our-health-system/hospitals-and-specialist-services/public-hospitals/&lt;/url&gt;&lt;/related-urls&gt;&lt;/urls&gt;&lt;/record&gt;&lt;/Cite&gt;&lt;/EndNote&gt;</w:instrText>
      </w:r>
      <w:r w:rsidRPr="0007414B">
        <w:rPr>
          <w:rFonts w:cs="Segoe UI"/>
          <w:lang w:eastAsia="en-NZ"/>
        </w:rPr>
        <w:fldChar w:fldCharType="separate"/>
      </w:r>
      <w:r w:rsidRPr="0007414B">
        <w:rPr>
          <w:rFonts w:cs="Segoe UI"/>
          <w:noProof/>
          <w:lang w:eastAsia="en-NZ"/>
        </w:rPr>
        <w:t>Te Whatu Ora 2023m)</w:t>
      </w:r>
      <w:r w:rsidRPr="0007414B">
        <w:rPr>
          <w:rFonts w:cs="Segoe UI"/>
          <w:lang w:eastAsia="en-NZ"/>
        </w:rPr>
        <w:fldChar w:fldCharType="end"/>
      </w:r>
      <w:r w:rsidRPr="0007414B">
        <w:rPr>
          <w:rFonts w:cs="Segoe UI"/>
          <w:lang w:eastAsia="en-NZ"/>
        </w:rPr>
        <w:t>. They provide a variety of publicly funded health and disability services, such as medical, surgical, maternity, diagnostic and emergency services. Services are provided on an inpatient, daycase or outpatient basis, depending on the care a person needs. Planned care services</w:t>
      </w:r>
      <w:r w:rsidRPr="0007414B" w:rsidDel="00631C70">
        <w:rPr>
          <w:rFonts w:cs="Segoe UI"/>
          <w:lang w:eastAsia="en-NZ"/>
        </w:rPr>
        <w:t xml:space="preserve"> </w:t>
      </w:r>
      <w:r w:rsidRPr="0007414B">
        <w:rPr>
          <w:rFonts w:cs="Segoe UI"/>
          <w:lang w:eastAsia="en-NZ"/>
        </w:rPr>
        <w:t>include medical and surgical care for people who do not need to be treated immediately.</w:t>
      </w:r>
    </w:p>
    <w:p w14:paraId="2E48AF29" w14:textId="77777777" w:rsidR="00395CB9" w:rsidRPr="0007414B" w:rsidRDefault="00395CB9" w:rsidP="00395CB9">
      <w:pPr>
        <w:pStyle w:val="Heading4"/>
      </w:pPr>
      <w:r w:rsidRPr="0007414B">
        <w:t>Emergency or unplanned care</w:t>
      </w:r>
    </w:p>
    <w:p w14:paraId="3574720B" w14:textId="77777777" w:rsidR="00395CB9" w:rsidRPr="0007414B" w:rsidRDefault="00395CB9" w:rsidP="000E689C">
      <w:pPr>
        <w:rPr>
          <w:sz w:val="24"/>
          <w:szCs w:val="24"/>
          <w:lang w:eastAsia="en-NZ"/>
        </w:rPr>
      </w:pPr>
      <w:r w:rsidRPr="0007414B">
        <w:t>In 2022, 790,414 individuals visited emergency departments (EDs) in Aotearoa New Zealand. They made a total of 1,245,881 visits, which is an average of 1.6 visits per person.</w:t>
      </w:r>
    </w:p>
    <w:p w14:paraId="4F47CD2D" w14:textId="77777777" w:rsidR="00395CB9" w:rsidRPr="0007414B" w:rsidRDefault="00395CB9" w:rsidP="000E689C">
      <w:r w:rsidRPr="0007414B">
        <w:t> </w:t>
      </w:r>
    </w:p>
    <w:p w14:paraId="109709EC" w14:textId="77777777" w:rsidR="00395CB9" w:rsidRPr="0007414B" w:rsidRDefault="00395CB9" w:rsidP="000E689C">
      <w:r w:rsidRPr="0007414B">
        <w:t>Of the 1,245,881 visits to an ED in 2022, 4.7% (59,153 visits) ended with the person leaving before receiving care (missed attendance). This was an increase from 3.3% recorded in 2021.</w:t>
      </w:r>
    </w:p>
    <w:p w14:paraId="0D645CA8" w14:textId="77777777" w:rsidR="00395CB9" w:rsidRPr="0007414B" w:rsidRDefault="00395CB9" w:rsidP="000E689C">
      <w:r w:rsidRPr="0007414B">
        <w:t> </w:t>
      </w:r>
    </w:p>
    <w:p w14:paraId="5E435C2A" w14:textId="77777777" w:rsidR="00395CB9" w:rsidRPr="0007414B" w:rsidRDefault="00395CB9" w:rsidP="000E689C">
      <w:r w:rsidRPr="0007414B">
        <w:t>Of the visits to an ED where the person received care, 888,247 visits (74.9%) received care within 6 hours. The percentage of visits where people waited more than 6 hours has increased over time, from 9.0% in 2017 to 25.1% in 2022.</w:t>
      </w:r>
    </w:p>
    <w:p w14:paraId="5933ADDE" w14:textId="77777777" w:rsidR="00395CB9" w:rsidRPr="0007414B" w:rsidRDefault="00395CB9" w:rsidP="000E689C">
      <w:r w:rsidRPr="0007414B">
        <w:t> </w:t>
      </w:r>
    </w:p>
    <w:p w14:paraId="2EA20C18" w14:textId="77777777" w:rsidR="00395CB9" w:rsidRPr="0007414B" w:rsidRDefault="00395CB9" w:rsidP="000E689C">
      <w:r w:rsidRPr="0007414B">
        <w:t>By ethnic group, Māori made 280,135 ED visits (22.5%), Pacific peoples 105,550 visits (8.5%) and non-Māori, non-Pacific 860,196 visits (69.0%) in 2022.</w:t>
      </w:r>
    </w:p>
    <w:p w14:paraId="139DE6F4" w14:textId="77777777" w:rsidR="00395CB9" w:rsidRPr="0007414B" w:rsidRDefault="00395CB9" w:rsidP="00395CB9">
      <w:pPr>
        <w:pStyle w:val="Heading5"/>
      </w:pPr>
      <w:r w:rsidRPr="0007414B">
        <w:t>Length of hospital stay for acute care</w:t>
      </w:r>
    </w:p>
    <w:p w14:paraId="2BB1E0CE" w14:textId="77777777" w:rsidR="00395CB9" w:rsidRPr="0007414B" w:rsidRDefault="00395CB9" w:rsidP="00395CB9">
      <w:pPr>
        <w:rPr>
          <w:rFonts w:cs="Segoe UI"/>
        </w:rPr>
      </w:pPr>
      <w:r w:rsidRPr="0007414B">
        <w:rPr>
          <w:rFonts w:cs="Segoe UI"/>
        </w:rPr>
        <w:t xml:space="preserve">Acute or unplanned care is loosely defined as any urgent health care for an illness or injury </w:t>
      </w:r>
      <w:r w:rsidRPr="0007414B">
        <w:rPr>
          <w:rFonts w:cs="Segoe UI"/>
        </w:rPr>
        <w:fldChar w:fldCharType="begin"/>
      </w:r>
      <w:r>
        <w:rPr>
          <w:rFonts w:cs="Segoe UI"/>
        </w:rPr>
        <w:instrText xml:space="preserve"> ADDIN EN.CITE &lt;EndNote&gt;&lt;Cite&gt;&lt;Author&gt;Te Whatu Ora&lt;/Author&gt;&lt;Year&gt;2023&lt;/Year&gt;&lt;RecNum&gt;320&lt;/RecNum&gt;&lt;DisplayText&gt;(Te Whatu Ora 2023b)&lt;/DisplayText&gt;&lt;record&gt;&lt;rec-number&gt;320&lt;/rec-number&gt;&lt;foreign-keys&gt;&lt;key app="EN" db-id="aaepvppzs5wtfse95vsp2wahsrtvva2vvdet" timestamp="1683257488"&gt;320&lt;/key&gt;&lt;/foreign-keys&gt;&lt;ref-type name="Web Page"&gt;12&lt;/ref-type&gt;&lt;contributors&gt;&lt;authors&gt;&lt;author&gt;Te Whatu Ora,&lt;/author&gt;&lt;/authors&gt;&lt;/contributors&gt;&lt;titles&gt;&lt;title&gt;Acute care&lt;/title&gt;&lt;/titles&gt;&lt;number&gt;5 May 2023&lt;/number&gt;&lt;dates&gt;&lt;year&gt;2023&lt;/year&gt;&lt;/dates&gt;&lt;urls&gt;&lt;related-urls&gt;&lt;url&gt;www.tewhatuora.govt.nz/our-health-system/hospitals-and-specialist-services/acute-care&lt;/url&gt;&lt;/related-urls&gt;&lt;/urls&gt;&lt;/record&gt;&lt;/Cite&gt;&lt;/EndNote&gt;</w:instrText>
      </w:r>
      <w:r w:rsidRPr="0007414B">
        <w:rPr>
          <w:rFonts w:cs="Segoe UI"/>
        </w:rPr>
        <w:fldChar w:fldCharType="separate"/>
      </w:r>
      <w:r w:rsidRPr="0007414B">
        <w:rPr>
          <w:rFonts w:cs="Segoe UI"/>
          <w:noProof/>
        </w:rPr>
        <w:t>(Te Whatu Ora 2023b)</w:t>
      </w:r>
      <w:r w:rsidRPr="0007414B">
        <w:rPr>
          <w:rFonts w:cs="Segoe UI"/>
        </w:rPr>
        <w:fldChar w:fldCharType="end"/>
      </w:r>
      <w:r w:rsidRPr="0007414B">
        <w:rPr>
          <w:rFonts w:cs="Segoe UI"/>
        </w:rPr>
        <w:t xml:space="preserve">. Acute care is usually time-sensitive, meaning that if the person does not receive care in a timely manner, they may die or have </w:t>
      </w:r>
      <w:r>
        <w:rPr>
          <w:rFonts w:cs="Segoe UI"/>
        </w:rPr>
        <w:t xml:space="preserve">a </w:t>
      </w:r>
      <w:r w:rsidRPr="0007414B">
        <w:rPr>
          <w:rFonts w:cs="Segoe UI"/>
        </w:rPr>
        <w:t xml:space="preserve">long-term </w:t>
      </w:r>
      <w:r w:rsidRPr="0007414B">
        <w:rPr>
          <w:rFonts w:cs="Segoe UI"/>
        </w:rPr>
        <w:lastRenderedPageBreak/>
        <w:t xml:space="preserve">disability. The average length of stay in hospital for acute conditions in 2022 was 2.6 days </w:t>
      </w:r>
      <w:r w:rsidRPr="0007414B">
        <w:rPr>
          <w:rFonts w:cs="Segoe UI"/>
        </w:rPr>
        <w:fldChar w:fldCharType="begin"/>
      </w:r>
      <w:r w:rsidRPr="0007414B">
        <w:rPr>
          <w:rFonts w:cs="Segoe UI"/>
        </w:rPr>
        <w:instrText xml:space="preserve"> ADDIN EN.CITE &lt;EndNote&gt;&lt;Cite&gt;&lt;Author&gt;Nationwide Service Framework Library&lt;/Author&gt;&lt;Year&gt;2022&lt;/Year&gt;&lt;RecNum&gt;248&lt;/RecNum&gt;&lt;DisplayText&gt;(Nationwide Service Framework Library 2022)&lt;/DisplayText&gt;&lt;record&gt;&lt;rec-number&gt;248&lt;/rec-number&gt;&lt;foreign-keys&gt;&lt;key app="EN" db-id="aaepvppzs5wtfse95vsp2wahsrtvva2vvdet" timestamp="1664497329"&gt;248&lt;/key&gt;&lt;/foreign-keys&gt;&lt;ref-type name="Web Page"&gt;12&lt;/ref-type&gt;&lt;contributors&gt;&lt;authors&gt;&lt;author&gt;Nationwide Service Framework Library,&lt;/author&gt;&lt;/authors&gt;&lt;/contributors&gt;&lt;titles&gt;&lt;title&gt;Inpatient average length of stay (Data file)&lt;/title&gt;&lt;/titles&gt;&lt;number&gt;31 October 2022&lt;/number&gt;&lt;dates&gt;&lt;year&gt;2022&lt;/year&gt;&lt;/dates&gt;&lt;urls&gt;&lt;related-urls&gt;&lt;url&gt;https://nsfl.health.govt.nz/accountability/performance-and-monitoring/data-quarterly-reports-and-reporting/inpatient-average&lt;/url&gt;&lt;/related-urls&gt;&lt;/urls&gt;&lt;/record&gt;&lt;/Cite&gt;&lt;/EndNote&gt;</w:instrText>
      </w:r>
      <w:r w:rsidRPr="0007414B">
        <w:rPr>
          <w:rFonts w:cs="Segoe UI"/>
        </w:rPr>
        <w:fldChar w:fldCharType="separate"/>
      </w:r>
      <w:r w:rsidRPr="0007414B">
        <w:rPr>
          <w:rFonts w:cs="Segoe UI"/>
        </w:rPr>
        <w:t>(Nationwide Service Framework Library 2022)</w:t>
      </w:r>
      <w:r w:rsidRPr="0007414B">
        <w:rPr>
          <w:rFonts w:cs="Segoe UI"/>
        </w:rPr>
        <w:fldChar w:fldCharType="end"/>
      </w:r>
      <w:r w:rsidRPr="0007414B">
        <w:rPr>
          <w:rFonts w:cs="Segoe UI"/>
        </w:rPr>
        <w:t>. This was similar across ethnic groups, with average length of stay of 2.2 days for Māori and 2.5 days for Pacific peoples.</w:t>
      </w:r>
    </w:p>
    <w:p w14:paraId="34DDBF00" w14:textId="77777777" w:rsidR="00395CB9" w:rsidRPr="0007414B" w:rsidRDefault="00395CB9" w:rsidP="00395CB9">
      <w:pPr>
        <w:pStyle w:val="Heading4"/>
      </w:pPr>
      <w:r w:rsidRPr="0007414B">
        <w:t xml:space="preserve">Ambulatory sensitive hospitalisations (ASH) </w:t>
      </w:r>
    </w:p>
    <w:p w14:paraId="39F52DEE" w14:textId="77777777" w:rsidR="00395CB9" w:rsidRPr="0007414B" w:rsidRDefault="00395CB9" w:rsidP="00395CB9">
      <w:pPr>
        <w:rPr>
          <w:rFonts w:cs="Segoe UI"/>
          <w:shd w:val="clear" w:color="auto" w:fill="FFFFFF"/>
        </w:rPr>
      </w:pPr>
      <w:r w:rsidRPr="0007414B">
        <w:rPr>
          <w:rFonts w:cs="Segoe UI"/>
          <w:shd w:val="clear" w:color="auto" w:fill="FFFFFF"/>
        </w:rPr>
        <w:t xml:space="preserve">ASH events are hospital admissions that are considered potentially avoidable if the person had received disease-preventing or therapeutic interventions in a primary health care setting. ASH is a system-level measure that we report for 2 age groups: </w:t>
      </w:r>
    </w:p>
    <w:p w14:paraId="0DEFCF84" w14:textId="77777777" w:rsidR="00395CB9" w:rsidRPr="0007414B" w:rsidRDefault="00395CB9" w:rsidP="000E689C">
      <w:pPr>
        <w:pStyle w:val="Bullet"/>
        <w:rPr>
          <w:shd w:val="clear" w:color="auto" w:fill="FFFFFF"/>
        </w:rPr>
      </w:pPr>
      <w:r w:rsidRPr="0007414B">
        <w:rPr>
          <w:shd w:val="clear" w:color="auto" w:fill="FFFFFF"/>
        </w:rPr>
        <w:t>children aged 0–4 years</w:t>
      </w:r>
    </w:p>
    <w:p w14:paraId="43F8BC71" w14:textId="77777777" w:rsidR="00395CB9" w:rsidRPr="0007414B" w:rsidRDefault="00395CB9" w:rsidP="000E689C">
      <w:pPr>
        <w:pStyle w:val="Bullet"/>
        <w:rPr>
          <w:shd w:val="clear" w:color="auto" w:fill="FFFFFF"/>
        </w:rPr>
      </w:pPr>
      <w:r w:rsidRPr="0007414B">
        <w:rPr>
          <w:shd w:val="clear" w:color="auto" w:fill="FFFFFF"/>
        </w:rPr>
        <w:t>adults aged 45–64 years.</w:t>
      </w:r>
    </w:p>
    <w:p w14:paraId="245E10CC" w14:textId="77777777" w:rsidR="00395CB9" w:rsidRPr="0007414B" w:rsidRDefault="00395CB9" w:rsidP="00395CB9">
      <w:pPr>
        <w:pStyle w:val="Heading5"/>
        <w:rPr>
          <w:shd w:val="clear" w:color="auto" w:fill="FFFFFF"/>
        </w:rPr>
      </w:pPr>
      <w:r w:rsidRPr="0007414B">
        <w:rPr>
          <w:shd w:val="clear" w:color="auto" w:fill="FFFFFF"/>
        </w:rPr>
        <w:t>Ambulatory sensitive hospitalisations for children aged 0–4 years</w:t>
      </w:r>
    </w:p>
    <w:p w14:paraId="47B729AA" w14:textId="77777777" w:rsidR="00395CB9" w:rsidRPr="0007414B" w:rsidRDefault="00395CB9" w:rsidP="00395CB9">
      <w:pPr>
        <w:rPr>
          <w:rFonts w:cs="Segoe UI"/>
          <w:shd w:val="clear" w:color="auto" w:fill="FFFFFF"/>
        </w:rPr>
      </w:pPr>
      <w:r w:rsidRPr="0007414B">
        <w:rPr>
          <w:rFonts w:cs="Segoe UI"/>
          <w:shd w:val="clear" w:color="auto" w:fill="FFFFFF"/>
        </w:rPr>
        <w:t>In 2022, the top 4 causes of ASH admissions for children aged 0–4 years were:</w:t>
      </w:r>
    </w:p>
    <w:p w14:paraId="58C64A81" w14:textId="77777777" w:rsidR="00395CB9" w:rsidRPr="0007414B" w:rsidRDefault="00395CB9" w:rsidP="000E689C">
      <w:pPr>
        <w:pStyle w:val="Bullet"/>
        <w:rPr>
          <w:shd w:val="clear" w:color="auto" w:fill="FFFFFF"/>
        </w:rPr>
      </w:pPr>
      <w:r w:rsidRPr="0007414B">
        <w:rPr>
          <w:shd w:val="clear" w:color="auto" w:fill="FFFFFF"/>
        </w:rPr>
        <w:t>asthma, with 5,830 admissions</w:t>
      </w:r>
    </w:p>
    <w:p w14:paraId="4A251858" w14:textId="77777777" w:rsidR="00395CB9" w:rsidRPr="0007414B" w:rsidRDefault="00395CB9" w:rsidP="000E689C">
      <w:pPr>
        <w:pStyle w:val="Bullet"/>
        <w:rPr>
          <w:shd w:val="clear" w:color="auto" w:fill="FFFFFF"/>
        </w:rPr>
      </w:pPr>
      <w:r w:rsidRPr="0007414B">
        <w:rPr>
          <w:shd w:val="clear" w:color="auto" w:fill="FFFFFF"/>
        </w:rPr>
        <w:t>upper respiratory infections and ear, nose and throat respiratory infections, with 5,104 admissions</w:t>
      </w:r>
    </w:p>
    <w:p w14:paraId="0C23CDE0" w14:textId="77777777" w:rsidR="00395CB9" w:rsidRPr="0007414B" w:rsidRDefault="00395CB9" w:rsidP="000E689C">
      <w:pPr>
        <w:pStyle w:val="Bullet"/>
        <w:rPr>
          <w:shd w:val="clear" w:color="auto" w:fill="FFFFFF"/>
        </w:rPr>
      </w:pPr>
      <w:r w:rsidRPr="0007414B">
        <w:rPr>
          <w:shd w:val="clear" w:color="auto" w:fill="FFFFFF"/>
        </w:rPr>
        <w:t>gastroenteritis/dehydration, with 3,153 admissions</w:t>
      </w:r>
    </w:p>
    <w:p w14:paraId="549DBF0C" w14:textId="77777777" w:rsidR="00395CB9" w:rsidRPr="0007414B" w:rsidRDefault="00395CB9" w:rsidP="000E689C">
      <w:pPr>
        <w:pStyle w:val="Bullet"/>
        <w:rPr>
          <w:shd w:val="clear" w:color="auto" w:fill="FFFFFF"/>
        </w:rPr>
      </w:pPr>
      <w:r w:rsidRPr="0007414B">
        <w:rPr>
          <w:shd w:val="clear" w:color="auto" w:fill="FFFFFF"/>
        </w:rPr>
        <w:t xml:space="preserve">dental conditions, with 2,206 admissions </w:t>
      </w:r>
      <w:r w:rsidRPr="0007414B">
        <w:rPr>
          <w:shd w:val="clear" w:color="auto" w:fill="FFFFFF"/>
        </w:rPr>
        <w:fldChar w:fldCharType="begin"/>
      </w:r>
      <w:r w:rsidRPr="0007414B">
        <w:rPr>
          <w:shd w:val="clear" w:color="auto" w:fill="FFFFFF"/>
        </w:rPr>
        <w:instrText xml:space="preserve"> ADDIN EN.CITE &lt;EndNote&gt;&lt;Cite&gt;&lt;Author&gt;Nationwide Service Framework Library&lt;/Author&gt;&lt;Year&gt;2023&lt;/Year&gt;&lt;RecNum&gt;89&lt;/RecNum&gt;&lt;DisplayText&gt;(Nationwide Service Framework Library 2023)&lt;/DisplayText&gt;&lt;record&gt;&lt;rec-number&gt;89&lt;/rec-number&gt;&lt;foreign-keys&gt;&lt;key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admissions&lt;/title&gt;&lt;/titles&gt;&lt;number&gt;28 April 2023&lt;/number&gt;&lt;dates&gt;&lt;year&gt;2023&lt;/year&gt;&lt;/dates&gt;&lt;urls&gt;&lt;related-urls&gt;&lt;url&gt;https://nsfl.health.govt.nz/accountability/performance-and-monitoring/data-quarterly-reports-and-reporting/ambulatory-sensitive&lt;/url&gt;&lt;/related-urls&gt;&lt;/urls&gt;&lt;/record&gt;&lt;/Cite&gt;&lt;/EndNote&gt;</w:instrText>
      </w:r>
      <w:r w:rsidRPr="0007414B">
        <w:rPr>
          <w:shd w:val="clear" w:color="auto" w:fill="FFFFFF"/>
        </w:rPr>
        <w:fldChar w:fldCharType="separate"/>
      </w:r>
      <w:r w:rsidRPr="0007414B">
        <w:rPr>
          <w:shd w:val="clear" w:color="auto" w:fill="FFFFFF"/>
        </w:rPr>
        <w:t>(Nationwide Service Framework Library 2023)</w:t>
      </w:r>
      <w:r w:rsidRPr="0007414B">
        <w:rPr>
          <w:shd w:val="clear" w:color="auto" w:fill="FFFFFF"/>
        </w:rPr>
        <w:fldChar w:fldCharType="end"/>
      </w:r>
      <w:r w:rsidRPr="0007414B">
        <w:rPr>
          <w:shd w:val="clear" w:color="auto" w:fill="FFFFFF"/>
        </w:rPr>
        <w:t xml:space="preserve">. </w:t>
      </w:r>
    </w:p>
    <w:p w14:paraId="42B723CC" w14:textId="77777777" w:rsidR="00395CB9" w:rsidRPr="0007414B" w:rsidRDefault="00395CB9" w:rsidP="000E689C">
      <w:pPr>
        <w:rPr>
          <w:shd w:val="clear" w:color="auto" w:fill="FFFFFF"/>
        </w:rPr>
      </w:pPr>
    </w:p>
    <w:p w14:paraId="06E52D4B" w14:textId="4E8D69F6" w:rsidR="00395CB9" w:rsidRPr="0007414B" w:rsidRDefault="00395CB9" w:rsidP="000E689C">
      <w:pPr>
        <w:rPr>
          <w:shd w:val="clear" w:color="auto" w:fill="FFFFFF"/>
        </w:rPr>
      </w:pPr>
      <w:r w:rsidRPr="0007414B">
        <w:rPr>
          <w:shd w:val="clear" w:color="auto" w:fill="FFFFFF"/>
        </w:rPr>
        <w:t xml:space="preserve">The measures taken in response to the COVID-19 pandemic in 2020 </w:t>
      </w:r>
      <w:r w:rsidRPr="0007414B">
        <w:t>led to a drop in ASH rates in 2020. Since then, rates have increased</w:t>
      </w:r>
      <w:r>
        <w:t>.</w:t>
      </w:r>
      <w:r w:rsidRPr="0007414B">
        <w:t xml:space="preserve"> </w:t>
      </w:r>
      <w:r w:rsidRPr="0007414B">
        <w:rPr>
          <w:shd w:val="clear" w:color="auto" w:fill="FFFFFF"/>
        </w:rPr>
        <w:fldChar w:fldCharType="begin"/>
      </w:r>
      <w:r w:rsidRPr="0007414B">
        <w:rPr>
          <w:shd w:val="clear" w:color="auto" w:fill="FFFFFF"/>
        </w:rPr>
        <w:instrText xml:space="preserve"> REF _Ref132283079 \h  \* MERGEFORMAT </w:instrText>
      </w:r>
      <w:r w:rsidRPr="0007414B">
        <w:rPr>
          <w:shd w:val="clear" w:color="auto" w:fill="FFFFFF"/>
        </w:rPr>
      </w:r>
      <w:r w:rsidRPr="0007414B">
        <w:rPr>
          <w:shd w:val="clear" w:color="auto" w:fill="FFFFFF"/>
        </w:rPr>
        <w:fldChar w:fldCharType="separate"/>
      </w:r>
      <w:r w:rsidR="00BE208D" w:rsidRPr="0007414B">
        <w:t xml:space="preserve">Figure </w:t>
      </w:r>
      <w:r w:rsidR="00BE208D">
        <w:t>36</w:t>
      </w:r>
      <w:r w:rsidRPr="0007414B">
        <w:rPr>
          <w:shd w:val="clear" w:color="auto" w:fill="FFFFFF"/>
        </w:rPr>
        <w:fldChar w:fldCharType="end"/>
      </w:r>
      <w:r w:rsidRPr="0007414B">
        <w:rPr>
          <w:shd w:val="clear" w:color="auto" w:fill="FFFFFF"/>
        </w:rPr>
        <w:t xml:space="preserve"> shows total ASH rates for those aged 0–4 years</w:t>
      </w:r>
      <w:r w:rsidRPr="0007414B" w:rsidDel="00C328DC">
        <w:rPr>
          <w:shd w:val="clear" w:color="auto" w:fill="FFFFFF"/>
        </w:rPr>
        <w:t xml:space="preserve"> </w:t>
      </w:r>
      <w:r w:rsidRPr="0007414B">
        <w:rPr>
          <w:shd w:val="clear" w:color="auto" w:fill="FFFFFF"/>
        </w:rPr>
        <w:t>between 2018 and 2022.</w:t>
      </w:r>
      <w:r w:rsidRPr="0007414B" w:rsidDel="00C328DC">
        <w:rPr>
          <w:shd w:val="clear" w:color="auto" w:fill="FFFFFF"/>
        </w:rPr>
        <w:t xml:space="preserve"> </w:t>
      </w:r>
      <w:r w:rsidRPr="0007414B">
        <w:rPr>
          <w:shd w:val="clear" w:color="auto" w:fill="FFFFFF"/>
        </w:rPr>
        <w:t xml:space="preserve">Pacific children had the highest rates of ASH each year. </w:t>
      </w:r>
    </w:p>
    <w:p w14:paraId="2107441B" w14:textId="77777777" w:rsidR="00395CB9" w:rsidRPr="0007414B" w:rsidRDefault="00395CB9" w:rsidP="00395CB9">
      <w:pPr>
        <w:spacing w:after="160" w:line="259" w:lineRule="auto"/>
        <w:rPr>
          <w:rFonts w:cs="Segoe UI"/>
          <w:shd w:val="clear" w:color="auto" w:fill="FFFFFF"/>
        </w:rPr>
      </w:pPr>
    </w:p>
    <w:p w14:paraId="2ECC7994" w14:textId="203ED08B" w:rsidR="00395CB9" w:rsidRPr="0007414B" w:rsidRDefault="00395CB9" w:rsidP="000E689C">
      <w:pPr>
        <w:pStyle w:val="Figure"/>
      </w:pPr>
      <w:bookmarkStart w:id="176" w:name="_Ref132283079"/>
      <w:bookmarkStart w:id="177" w:name="_Toc138326978"/>
      <w:bookmarkStart w:id="178" w:name="_Toc138409959"/>
      <w:r w:rsidRPr="0007414B">
        <w:t xml:space="preserve">Figure </w:t>
      </w:r>
      <w:r>
        <w:fldChar w:fldCharType="begin"/>
      </w:r>
      <w:r>
        <w:instrText>SEQ Figure \* ARABIC</w:instrText>
      </w:r>
      <w:r>
        <w:fldChar w:fldCharType="separate"/>
      </w:r>
      <w:r w:rsidR="00BE208D">
        <w:rPr>
          <w:noProof/>
        </w:rPr>
        <w:t>36</w:t>
      </w:r>
      <w:r>
        <w:fldChar w:fldCharType="end"/>
      </w:r>
      <w:bookmarkEnd w:id="176"/>
      <w:r w:rsidRPr="0007414B">
        <w:t xml:space="preserve">: </w:t>
      </w:r>
      <w:r w:rsidRPr="0007414B">
        <w:rPr>
          <w:shd w:val="clear" w:color="auto" w:fill="FFFFFF"/>
        </w:rPr>
        <w:t>Ambulatory sensitive hospitalisation rates for children aged 0–4 years</w:t>
      </w:r>
      <w:r w:rsidRPr="0007414B">
        <w:t>, by ethnic group, 2018–2022</w:t>
      </w:r>
      <w:bookmarkEnd w:id="177"/>
      <w:bookmarkEnd w:id="178"/>
    </w:p>
    <w:p w14:paraId="7560FE53" w14:textId="77777777" w:rsidR="00395CB9" w:rsidRPr="0007414B" w:rsidRDefault="00395CB9" w:rsidP="00395CB9">
      <w:pPr>
        <w:rPr>
          <w:rFonts w:cs="Segoe UI"/>
          <w:shd w:val="clear" w:color="auto" w:fill="FFFFFF"/>
        </w:rPr>
      </w:pPr>
      <w:r w:rsidRPr="0007414B">
        <w:rPr>
          <w:noProof/>
        </w:rPr>
        <w:drawing>
          <wp:inline distT="0" distB="0" distL="0" distR="0" wp14:anchorId="10820611" wp14:editId="536BDC5B">
            <wp:extent cx="5097517" cy="2548758"/>
            <wp:effectExtent l="0" t="0" r="8255" b="4445"/>
            <wp:docPr id="1695314849" name="Picture 1695314849" descr="A time series line chart showing ASH rates for 0–4-year-olds by ethnic group, between 2018 to 2022. Throughout the series, ASH rates were highest for Pacific peoples, followed by Māori, and then non-Māori, non-Pacific. All ethnicities exhibit a ‘V’ shaped graph, with rates dropping from 2018 to 2020 before increasing again from 2020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49" name="Picture 1695314849" descr="A time series line chart showing ASH rates for 0–4-year-olds by ethnic group, between 2018 to 2022. Throughout the series, ASH rates were highest for Pacific peoples, followed by Māori, and then non-Māori, non-Pacific. All ethnicities exhibit a ‘V’ shaped graph, with rates dropping from 2018 to 2020 before increasing again from 2020 to 2022.&#10;"/>
                    <pic:cNvPicPr/>
                  </pic:nvPicPr>
                  <pic:blipFill>
                    <a:blip r:embed="rId107"/>
                    <a:stretch>
                      <a:fillRect/>
                    </a:stretch>
                  </pic:blipFill>
                  <pic:spPr>
                    <a:xfrm>
                      <a:off x="0" y="0"/>
                      <a:ext cx="5106157" cy="2553078"/>
                    </a:xfrm>
                    <a:prstGeom prst="rect">
                      <a:avLst/>
                    </a:prstGeom>
                  </pic:spPr>
                </pic:pic>
              </a:graphicData>
            </a:graphic>
          </wp:inline>
        </w:drawing>
      </w:r>
    </w:p>
    <w:p w14:paraId="2509B502" w14:textId="77777777" w:rsidR="00395CB9" w:rsidRPr="000E689C" w:rsidRDefault="00395CB9" w:rsidP="000E689C">
      <w:pPr>
        <w:pStyle w:val="Source"/>
      </w:pPr>
      <w:r w:rsidRPr="000E689C">
        <w:t xml:space="preserve">Source: </w:t>
      </w:r>
      <w:hyperlink r:id="rId108" w:history="1">
        <w:r w:rsidRPr="000E689C">
          <w:rPr>
            <w:rStyle w:val="Hyperlink"/>
          </w:rPr>
          <w:t>Nationwide Service Framework Library (2023)</w:t>
        </w:r>
      </w:hyperlink>
    </w:p>
    <w:p w14:paraId="0071D523" w14:textId="77777777" w:rsidR="00395CB9" w:rsidRPr="0007414B" w:rsidRDefault="00395CB9" w:rsidP="00395CB9">
      <w:pPr>
        <w:rPr>
          <w:rFonts w:cs="Segoe UI"/>
          <w:b/>
          <w:shd w:val="clear" w:color="auto" w:fill="FFFFFF"/>
        </w:rPr>
      </w:pPr>
    </w:p>
    <w:p w14:paraId="2D9616B5" w14:textId="77777777" w:rsidR="00BA5AE4" w:rsidRDefault="00BA5AE4" w:rsidP="00395CB9">
      <w:pPr>
        <w:pStyle w:val="Heading5"/>
        <w:rPr>
          <w:shd w:val="clear" w:color="auto" w:fill="FFFFFF"/>
        </w:rPr>
        <w:sectPr w:rsidR="00BA5AE4" w:rsidSect="00025EAD">
          <w:pgSz w:w="11907" w:h="16834" w:code="9"/>
          <w:pgMar w:top="1418" w:right="1701" w:bottom="1134" w:left="1843" w:header="284" w:footer="425" w:gutter="284"/>
          <w:cols w:space="720"/>
        </w:sectPr>
      </w:pPr>
    </w:p>
    <w:p w14:paraId="2A0A572A" w14:textId="1C34B87B" w:rsidR="00395CB9" w:rsidRPr="0007414B" w:rsidRDefault="00395CB9" w:rsidP="00395CB9">
      <w:pPr>
        <w:pStyle w:val="Heading5"/>
        <w:rPr>
          <w:shd w:val="clear" w:color="auto" w:fill="FFFFFF"/>
        </w:rPr>
      </w:pPr>
      <w:r w:rsidRPr="0007414B">
        <w:rPr>
          <w:shd w:val="clear" w:color="auto" w:fill="FFFFFF"/>
        </w:rPr>
        <w:lastRenderedPageBreak/>
        <w:t>Ambulatory sensitive hospitalisations for those aged 45–64 years</w:t>
      </w:r>
    </w:p>
    <w:p w14:paraId="69BEA99E" w14:textId="77777777" w:rsidR="00395CB9" w:rsidRPr="0007414B" w:rsidRDefault="00395CB9" w:rsidP="00395CB9">
      <w:pPr>
        <w:rPr>
          <w:shd w:val="clear" w:color="auto" w:fill="FFFFFF"/>
        </w:rPr>
      </w:pPr>
      <w:r w:rsidRPr="0007414B">
        <w:rPr>
          <w:shd w:val="clear" w:color="auto" w:fill="FFFFFF"/>
        </w:rPr>
        <w:t>In 2022, the top 4 causes of ASH for those aged 45–64 years were:</w:t>
      </w:r>
    </w:p>
    <w:p w14:paraId="527E030D" w14:textId="77777777" w:rsidR="00395CB9" w:rsidRPr="0007414B" w:rsidRDefault="00395CB9" w:rsidP="000E689C">
      <w:pPr>
        <w:pStyle w:val="Bullet"/>
        <w:rPr>
          <w:shd w:val="clear" w:color="auto" w:fill="FFFFFF"/>
        </w:rPr>
      </w:pPr>
      <w:r w:rsidRPr="0007414B">
        <w:rPr>
          <w:shd w:val="clear" w:color="auto" w:fill="FFFFFF"/>
        </w:rPr>
        <w:t>angina and chest pain, with 13,306 admissions</w:t>
      </w:r>
    </w:p>
    <w:p w14:paraId="4747FA6A" w14:textId="77777777" w:rsidR="00395CB9" w:rsidRPr="0007414B" w:rsidRDefault="00395CB9" w:rsidP="000E689C">
      <w:pPr>
        <w:pStyle w:val="Bullet"/>
        <w:rPr>
          <w:shd w:val="clear" w:color="auto" w:fill="FFFFFF"/>
        </w:rPr>
      </w:pPr>
      <w:r w:rsidRPr="0007414B">
        <w:rPr>
          <w:shd w:val="clear" w:color="auto" w:fill="FFFFFF"/>
        </w:rPr>
        <w:t>myocardial infarction (heart attack), with 3,980 admissions</w:t>
      </w:r>
    </w:p>
    <w:p w14:paraId="2F5E958B" w14:textId="77777777" w:rsidR="00395CB9" w:rsidRPr="0007414B" w:rsidRDefault="00395CB9" w:rsidP="000E689C">
      <w:pPr>
        <w:pStyle w:val="Bullet"/>
        <w:rPr>
          <w:shd w:val="clear" w:color="auto" w:fill="FFFFFF"/>
        </w:rPr>
      </w:pPr>
      <w:r w:rsidRPr="0007414B">
        <w:rPr>
          <w:shd w:val="clear" w:color="auto" w:fill="FFFFFF"/>
        </w:rPr>
        <w:t>cellulitis, with 3,771 admissions</w:t>
      </w:r>
    </w:p>
    <w:p w14:paraId="5A9BB196" w14:textId="77777777" w:rsidR="00395CB9" w:rsidRPr="0007414B" w:rsidRDefault="00395CB9" w:rsidP="000E689C">
      <w:pPr>
        <w:pStyle w:val="Bullet"/>
        <w:rPr>
          <w:shd w:val="clear" w:color="auto" w:fill="FFFFFF"/>
        </w:rPr>
      </w:pPr>
      <w:r w:rsidRPr="0007414B">
        <w:rPr>
          <w:shd w:val="clear" w:color="auto" w:fill="FFFFFF"/>
        </w:rPr>
        <w:t xml:space="preserve">gastroenteritis/dehydration, with 3,439 admissions </w:t>
      </w:r>
      <w:r w:rsidRPr="0007414B">
        <w:rPr>
          <w:shd w:val="clear" w:color="auto" w:fill="FFFFFF"/>
        </w:rPr>
        <w:fldChar w:fldCharType="begin"/>
      </w:r>
      <w:r w:rsidRPr="0007414B">
        <w:rPr>
          <w:shd w:val="clear" w:color="auto" w:fill="FFFFFF"/>
        </w:rPr>
        <w:instrText xml:space="preserve"> ADDIN EN.CITE &lt;EndNote&gt;&lt;Cite&gt;&lt;Author&gt;Nationwide Service Framework Library&lt;/Author&gt;&lt;Year&gt;2023&lt;/Year&gt;&lt;RecNum&gt;89&lt;/RecNum&gt;&lt;DisplayText&gt;(Nationwide Service Framework Library 2023)&lt;/DisplayText&gt;&lt;record&gt;&lt;rec-number&gt;89&lt;/rec-number&gt;&lt;foreign-keys&gt;&lt;key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admissions&lt;/title&gt;&lt;/titles&gt;&lt;number&gt;28 April 2023&lt;/number&gt;&lt;dates&gt;&lt;year&gt;2023&lt;/year&gt;&lt;/dates&gt;&lt;urls&gt;&lt;related-urls&gt;&lt;url&gt;https://nsfl.health.govt.nz/accountability/performance-and-monitoring/data-quarterly-reports-and-reporting/ambulatory-sensitive&lt;/url&gt;&lt;/related-urls&gt;&lt;/urls&gt;&lt;/record&gt;&lt;/Cite&gt;&lt;/EndNote&gt;</w:instrText>
      </w:r>
      <w:r w:rsidRPr="0007414B">
        <w:rPr>
          <w:shd w:val="clear" w:color="auto" w:fill="FFFFFF"/>
        </w:rPr>
        <w:fldChar w:fldCharType="separate"/>
      </w:r>
      <w:r w:rsidRPr="0007414B">
        <w:rPr>
          <w:shd w:val="clear" w:color="auto" w:fill="FFFFFF"/>
        </w:rPr>
        <w:t>(Nationwide Service Framework Library 2023)</w:t>
      </w:r>
      <w:r w:rsidRPr="0007414B">
        <w:rPr>
          <w:shd w:val="clear" w:color="auto" w:fill="FFFFFF"/>
        </w:rPr>
        <w:fldChar w:fldCharType="end"/>
      </w:r>
      <w:r w:rsidRPr="0007414B">
        <w:rPr>
          <w:shd w:val="clear" w:color="auto" w:fill="FFFFFF"/>
        </w:rPr>
        <w:t xml:space="preserve">. </w:t>
      </w:r>
    </w:p>
    <w:p w14:paraId="6BCED5C2" w14:textId="77777777" w:rsidR="00BE208D" w:rsidRPr="0007414B" w:rsidRDefault="00395CB9" w:rsidP="00395CB9">
      <w:r w:rsidRPr="0007414B">
        <w:fldChar w:fldCharType="begin"/>
      </w:r>
      <w:r w:rsidRPr="0007414B">
        <w:instrText xml:space="preserve"> REF _Ref132285619 \h  \* MERGEFORMAT </w:instrText>
      </w:r>
      <w:r w:rsidRPr="0007414B">
        <w:fldChar w:fldCharType="separate"/>
      </w:r>
    </w:p>
    <w:p w14:paraId="5E349ECD" w14:textId="77D6792A" w:rsidR="00395CB9" w:rsidRPr="0007414B" w:rsidRDefault="00BE208D" w:rsidP="000E689C">
      <w:pPr>
        <w:rPr>
          <w:rFonts w:cs="Segoe UI"/>
        </w:rPr>
      </w:pPr>
      <w:r w:rsidRPr="00BE208D">
        <w:rPr>
          <w:rFonts w:cs="Segoe UI"/>
        </w:rPr>
        <w:t>Figure 37</w:t>
      </w:r>
      <w:r w:rsidR="00395CB9" w:rsidRPr="0007414B">
        <w:rPr>
          <w:rFonts w:cs="Segoe UI"/>
        </w:rPr>
        <w:fldChar w:fldCharType="end"/>
      </w:r>
      <w:r w:rsidR="00395CB9" w:rsidRPr="0007414B">
        <w:rPr>
          <w:rFonts w:cs="Segoe UI"/>
        </w:rPr>
        <w:t xml:space="preserve"> </w:t>
      </w:r>
      <w:r w:rsidR="00395CB9" w:rsidRPr="0007414B">
        <w:rPr>
          <w:rFonts w:cs="Segoe UI"/>
          <w:shd w:val="clear" w:color="auto" w:fill="FFFFFF"/>
        </w:rPr>
        <w:t>shows total ASH rates for the age group 45–64 years</w:t>
      </w:r>
      <w:r w:rsidR="00395CB9" w:rsidRPr="0007414B" w:rsidDel="0072710B">
        <w:rPr>
          <w:rFonts w:cs="Segoe UI"/>
          <w:shd w:val="clear" w:color="auto" w:fill="FFFFFF"/>
        </w:rPr>
        <w:t xml:space="preserve"> </w:t>
      </w:r>
      <w:r w:rsidR="00395CB9" w:rsidRPr="0007414B">
        <w:rPr>
          <w:rFonts w:cs="Segoe UI"/>
          <w:shd w:val="clear" w:color="auto" w:fill="FFFFFF"/>
        </w:rPr>
        <w:t xml:space="preserve">from 2018 to 2022. </w:t>
      </w:r>
      <w:r w:rsidR="00395CB9">
        <w:rPr>
          <w:rFonts w:cs="Segoe UI"/>
        </w:rPr>
        <w:t>Pacific</w:t>
      </w:r>
      <w:r w:rsidR="00395CB9" w:rsidRPr="0007414B">
        <w:rPr>
          <w:rFonts w:cs="Segoe UI"/>
        </w:rPr>
        <w:t xml:space="preserve"> adults in this age group had the highest ASH rates. </w:t>
      </w:r>
    </w:p>
    <w:p w14:paraId="23BD17C9" w14:textId="77777777" w:rsidR="00395CB9" w:rsidRPr="0007414B" w:rsidRDefault="00395CB9" w:rsidP="00395CB9">
      <w:bookmarkStart w:id="179" w:name="_Ref132285619"/>
    </w:p>
    <w:p w14:paraId="2846306B" w14:textId="3E158144" w:rsidR="00395CB9" w:rsidRPr="0007414B" w:rsidRDefault="00395CB9" w:rsidP="000E689C">
      <w:pPr>
        <w:pStyle w:val="Figure"/>
      </w:pPr>
      <w:bookmarkStart w:id="180" w:name="_Toc138326979"/>
      <w:bookmarkStart w:id="181" w:name="_Toc138409960"/>
      <w:r w:rsidRPr="0007414B">
        <w:t xml:space="preserve">Figure </w:t>
      </w:r>
      <w:r>
        <w:fldChar w:fldCharType="begin"/>
      </w:r>
      <w:r>
        <w:instrText>SEQ Figure \* ARABIC</w:instrText>
      </w:r>
      <w:r>
        <w:fldChar w:fldCharType="separate"/>
      </w:r>
      <w:r w:rsidR="00BE208D">
        <w:rPr>
          <w:noProof/>
        </w:rPr>
        <w:t>37</w:t>
      </w:r>
      <w:r>
        <w:fldChar w:fldCharType="end"/>
      </w:r>
      <w:bookmarkEnd w:id="179"/>
      <w:r w:rsidRPr="0007414B">
        <w:t xml:space="preserve">: </w:t>
      </w:r>
      <w:r w:rsidRPr="0007414B">
        <w:rPr>
          <w:shd w:val="clear" w:color="auto" w:fill="FFFFFF"/>
        </w:rPr>
        <w:t xml:space="preserve">Ambulatory sensitive hospitalisation rates for adults aged </w:t>
      </w:r>
      <w:r w:rsidRPr="0007414B">
        <w:t>45–64 years, by ethnic group, 2018–2022</w:t>
      </w:r>
      <w:bookmarkEnd w:id="180"/>
      <w:bookmarkEnd w:id="181"/>
    </w:p>
    <w:p w14:paraId="27BC4DC4" w14:textId="77777777" w:rsidR="00395CB9" w:rsidRPr="0007414B" w:rsidRDefault="00395CB9" w:rsidP="00395CB9">
      <w:pPr>
        <w:rPr>
          <w:rFonts w:cs="Segoe UI"/>
        </w:rPr>
      </w:pPr>
      <w:r w:rsidRPr="0007414B">
        <w:rPr>
          <w:noProof/>
        </w:rPr>
        <w:drawing>
          <wp:inline distT="0" distB="0" distL="0" distR="0" wp14:anchorId="255FC55F" wp14:editId="4DB174F2">
            <wp:extent cx="5139559" cy="2569779"/>
            <wp:effectExtent l="0" t="0" r="4445" b="2540"/>
            <wp:docPr id="1695314850" name="Picture 1695314850" descr="A timeseries line chart showing age-standardised ASH rates for 45–64-year-olds by ethnic group, between 2018 and 2022. Throughout the series, rates were highest for Pacific people, followed by Māori, and then non-Māori, non-Pacific. Over the series, the total rate for all ethnic groups decreased from 3,900 per 100,000 in 2018 to 3,600 per 100,00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0" name="Picture 1695314850" descr="A timeseries line chart showing age-standardised ASH rates for 45–64-year-olds by ethnic group, between 2018 and 2022. Throughout the series, rates were highest for Pacific people, followed by Māori, and then non-Māori, non-Pacific. Over the series, the total rate for all ethnic groups decreased from 3,900 per 100,000 in 2018 to 3,600 per 100,000 in 2022."/>
                    <pic:cNvPicPr/>
                  </pic:nvPicPr>
                  <pic:blipFill>
                    <a:blip r:embed="rId109"/>
                    <a:stretch>
                      <a:fillRect/>
                    </a:stretch>
                  </pic:blipFill>
                  <pic:spPr>
                    <a:xfrm>
                      <a:off x="0" y="0"/>
                      <a:ext cx="5152830" cy="2576414"/>
                    </a:xfrm>
                    <a:prstGeom prst="rect">
                      <a:avLst/>
                    </a:prstGeom>
                  </pic:spPr>
                </pic:pic>
              </a:graphicData>
            </a:graphic>
          </wp:inline>
        </w:drawing>
      </w:r>
    </w:p>
    <w:p w14:paraId="7E002A52" w14:textId="77777777" w:rsidR="00395CB9" w:rsidRPr="000E689C" w:rsidRDefault="00395CB9" w:rsidP="000E689C">
      <w:pPr>
        <w:pStyle w:val="Source"/>
      </w:pPr>
      <w:r w:rsidRPr="000E689C">
        <w:t xml:space="preserve">Source: </w:t>
      </w:r>
      <w:hyperlink r:id="rId110" w:history="1">
        <w:r w:rsidRPr="000E689C">
          <w:rPr>
            <w:rStyle w:val="Hyperlink"/>
          </w:rPr>
          <w:t>Nationwide Service Framework Library (2023)</w:t>
        </w:r>
      </w:hyperlink>
    </w:p>
    <w:p w14:paraId="17CE5BDA" w14:textId="77777777" w:rsidR="00395CB9" w:rsidRPr="0007414B" w:rsidRDefault="00395CB9" w:rsidP="00395CB9">
      <w:pPr>
        <w:pStyle w:val="Heading4"/>
      </w:pPr>
      <w:r w:rsidRPr="0007414B">
        <w:t>Planned care</w:t>
      </w:r>
    </w:p>
    <w:p w14:paraId="62A668CD" w14:textId="77777777" w:rsidR="00395CB9" w:rsidRPr="0007414B" w:rsidRDefault="00395CB9" w:rsidP="00395CB9">
      <w:pPr>
        <w:rPr>
          <w:rFonts w:cs="Segoe UI"/>
        </w:rPr>
      </w:pPr>
      <w:r w:rsidRPr="0007414B">
        <w:rPr>
          <w:rFonts w:cs="Segoe UI"/>
        </w:rPr>
        <w:t xml:space="preserve">Planned care is defined as health care services that are provided more than 24 hours after the decision to go ahead with treatment. Previously, this non-acute care was named elective services </w:t>
      </w:r>
      <w:r w:rsidRPr="0007414B">
        <w:rPr>
          <w:rFonts w:cs="Segoe UI"/>
        </w:rPr>
        <w:fldChar w:fldCharType="begin"/>
      </w:r>
      <w:r>
        <w:rPr>
          <w:rFonts w:cs="Segoe UI"/>
        </w:rPr>
        <w:instrText xml:space="preserve"> ADDIN EN.CITE &lt;EndNote&gt;&lt;Cite&gt;&lt;Author&gt;Te Whatu Ora&lt;/Author&gt;&lt;Year&gt;2023&lt;/Year&gt;&lt;RecNum&gt;321&lt;/RecNum&gt;&lt;DisplayText&gt;(Te Whatu Ora 2023k)&lt;/DisplayText&gt;&lt;record&gt;&lt;rec-number&gt;321&lt;/rec-number&gt;&lt;foreign-keys&gt;&lt;key app="EN" db-id="aaepvppzs5wtfse95vsp2wahsrtvva2vvdet" timestamp="1683257568"&gt;321&lt;/key&gt;&lt;/foreign-keys&gt;&lt;ref-type name="Web Page"&gt;12&lt;/ref-type&gt;&lt;contributors&gt;&lt;authors&gt;&lt;author&gt;Te Whatu Ora,&lt;/author&gt;&lt;/authors&gt;&lt;/contributors&gt;&lt;titles&gt;&lt;title&gt;Planned care services&lt;/title&gt;&lt;/titles&gt;&lt;number&gt;5 May 2023&lt;/number&gt;&lt;dates&gt;&lt;year&gt;2023&lt;/year&gt;&lt;/dates&gt;&lt;urls&gt;&lt;related-urls&gt;&lt;url&gt;www.tewhatuora.govt.nz/our-health-system/hospitals-and-specialist-services/planned-care-services&lt;/url&gt;&lt;/related-urls&gt;&lt;/urls&gt;&lt;/record&gt;&lt;/Cite&gt;&lt;/EndNote&gt;</w:instrText>
      </w:r>
      <w:r w:rsidRPr="0007414B">
        <w:rPr>
          <w:rFonts w:cs="Segoe UI"/>
        </w:rPr>
        <w:fldChar w:fldCharType="separate"/>
      </w:r>
      <w:r w:rsidRPr="0007414B">
        <w:rPr>
          <w:rFonts w:cs="Segoe UI"/>
          <w:noProof/>
        </w:rPr>
        <w:t>(Te Whatu Ora 2023k)</w:t>
      </w:r>
      <w:r w:rsidRPr="0007414B">
        <w:rPr>
          <w:rFonts w:cs="Segoe UI"/>
        </w:rPr>
        <w:fldChar w:fldCharType="end"/>
      </w:r>
      <w:r w:rsidRPr="0007414B">
        <w:rPr>
          <w:rFonts w:cs="Segoe UI"/>
        </w:rPr>
        <w:t>. Planned care typically follows the key steps of:</w:t>
      </w:r>
    </w:p>
    <w:p w14:paraId="250F5990" w14:textId="77777777" w:rsidR="00395CB9" w:rsidRPr="0007414B" w:rsidRDefault="00395CB9" w:rsidP="000E689C">
      <w:pPr>
        <w:pStyle w:val="Bullet"/>
      </w:pPr>
      <w:r w:rsidRPr="0007414B">
        <w:t>referring a person for a specialist assessment</w:t>
      </w:r>
    </w:p>
    <w:p w14:paraId="58EBC207" w14:textId="77777777" w:rsidR="00395CB9" w:rsidRPr="0007414B" w:rsidRDefault="00395CB9" w:rsidP="000E689C">
      <w:pPr>
        <w:pStyle w:val="Bullet"/>
      </w:pPr>
      <w:r w:rsidRPr="0007414B">
        <w:t>conducting an assessment and diagnostic tests</w:t>
      </w:r>
    </w:p>
    <w:p w14:paraId="677F62C7" w14:textId="77777777" w:rsidR="00395CB9" w:rsidRPr="0007414B" w:rsidRDefault="00395CB9" w:rsidP="000E689C">
      <w:pPr>
        <w:pStyle w:val="Bullet"/>
      </w:pPr>
      <w:r w:rsidRPr="0007414B">
        <w:t>providing treatment</w:t>
      </w:r>
    </w:p>
    <w:p w14:paraId="1CFD5D23" w14:textId="77777777" w:rsidR="00395CB9" w:rsidRPr="0007414B" w:rsidRDefault="00395CB9" w:rsidP="000E689C">
      <w:pPr>
        <w:pStyle w:val="Bullet"/>
      </w:pPr>
      <w:r w:rsidRPr="0007414B">
        <w:t>conducting a follow-up</w:t>
      </w:r>
      <w:r w:rsidRPr="0007414B" w:rsidDel="00ED538A">
        <w:t xml:space="preserve"> </w:t>
      </w:r>
      <w:r w:rsidRPr="0007414B">
        <w:t>or returning the person to the care of their general practice.</w:t>
      </w:r>
    </w:p>
    <w:p w14:paraId="3EEAD052" w14:textId="77777777" w:rsidR="00395CB9" w:rsidRPr="0007414B" w:rsidRDefault="00395CB9" w:rsidP="000E689C"/>
    <w:p w14:paraId="5146B401" w14:textId="399986C5" w:rsidR="00395CB9" w:rsidRPr="0007414B" w:rsidRDefault="00395CB9" w:rsidP="000E689C">
      <w:r w:rsidRPr="0007414B">
        <w:t xml:space="preserve">Waiting times for specialist assessment and treatment/surgery are measured nationally and by specialty. </w:t>
      </w:r>
      <w:r w:rsidRPr="0007414B">
        <w:fldChar w:fldCharType="begin"/>
      </w:r>
      <w:r w:rsidRPr="0007414B">
        <w:instrText xml:space="preserve"> REF _Ref132290454 \h  \* MERGEFORMAT </w:instrText>
      </w:r>
      <w:r w:rsidRPr="0007414B">
        <w:fldChar w:fldCharType="separate"/>
      </w:r>
      <w:r w:rsidR="00BE208D" w:rsidRPr="0007414B">
        <w:t xml:space="preserve">Figure </w:t>
      </w:r>
      <w:r w:rsidR="00BE208D">
        <w:t>38</w:t>
      </w:r>
      <w:r w:rsidRPr="0007414B">
        <w:fldChar w:fldCharType="end"/>
      </w:r>
      <w:r w:rsidRPr="0007414B">
        <w:t xml:space="preserve"> shows the proportion of patients nationwide who waited longer than 4 months for either specialist assessment or treatment/surgery </w:t>
      </w:r>
      <w:r>
        <w:t>is generally increasing</w:t>
      </w:r>
      <w:r w:rsidRPr="0007414B">
        <w:t>.</w:t>
      </w:r>
      <w:r>
        <w:t xml:space="preserve"> </w:t>
      </w:r>
    </w:p>
    <w:p w14:paraId="20745884" w14:textId="77777777" w:rsidR="00395CB9" w:rsidRPr="0007414B" w:rsidRDefault="00395CB9" w:rsidP="00395CB9">
      <w:pPr>
        <w:rPr>
          <w:rFonts w:cs="Segoe UI"/>
        </w:rPr>
      </w:pPr>
    </w:p>
    <w:p w14:paraId="2A7484BD" w14:textId="6363479F" w:rsidR="00395CB9" w:rsidRPr="0007414B" w:rsidRDefault="00395CB9" w:rsidP="00FE2BAD">
      <w:pPr>
        <w:pStyle w:val="Figure"/>
      </w:pPr>
      <w:bookmarkStart w:id="182" w:name="_Ref132290454"/>
      <w:bookmarkStart w:id="183" w:name="_Toc138326980"/>
      <w:bookmarkStart w:id="184" w:name="_Toc138409961"/>
      <w:r w:rsidRPr="0007414B">
        <w:lastRenderedPageBreak/>
        <w:t xml:space="preserve">Figure </w:t>
      </w:r>
      <w:r>
        <w:fldChar w:fldCharType="begin"/>
      </w:r>
      <w:r>
        <w:instrText>SEQ Figure \* ARABIC</w:instrText>
      </w:r>
      <w:r>
        <w:fldChar w:fldCharType="separate"/>
      </w:r>
      <w:r w:rsidR="00BE208D">
        <w:rPr>
          <w:noProof/>
        </w:rPr>
        <w:t>38</w:t>
      </w:r>
      <w:r>
        <w:fldChar w:fldCharType="end"/>
      </w:r>
      <w:bookmarkEnd w:id="182"/>
      <w:r w:rsidRPr="0007414B">
        <w:t>: Proportion of patients who waited longer than 4 months for assessment or</w:t>
      </w:r>
      <w:r w:rsidRPr="0007414B" w:rsidDel="004445E4">
        <w:t xml:space="preserve"> </w:t>
      </w:r>
      <w:r w:rsidRPr="0007414B">
        <w:t>planned treatment/surgery, January 2020 – December 2022</w:t>
      </w:r>
      <w:bookmarkEnd w:id="183"/>
      <w:bookmarkEnd w:id="184"/>
    </w:p>
    <w:p w14:paraId="531516C2" w14:textId="77777777" w:rsidR="00395CB9" w:rsidRPr="0007414B" w:rsidRDefault="00395CB9" w:rsidP="00395CB9">
      <w:pPr>
        <w:spacing w:after="160" w:line="259" w:lineRule="auto"/>
        <w:rPr>
          <w:rFonts w:eastAsiaTheme="majorEastAsia" w:cs="Segoe UI"/>
        </w:rPr>
      </w:pPr>
      <w:r w:rsidRPr="0007414B">
        <w:rPr>
          <w:noProof/>
        </w:rPr>
        <w:drawing>
          <wp:inline distT="0" distB="0" distL="0" distR="0" wp14:anchorId="7DC45CCD" wp14:editId="0C635E9C">
            <wp:extent cx="5149850" cy="2574927"/>
            <wp:effectExtent l="0" t="0" r="0" b="0"/>
            <wp:docPr id="1695314851" name="Picture 1695314851" descr="A timeseries lines chart showing the proportion of patients who waited longer than four months for assessment or elective treatment/surgery, between January 2020 and December 2022. The chart shows that for both those ‘given a commitment to treatment but not treated within 4 months’ and ‘waiting longer than 4 months for their first specialist assessment’ have both generally increased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1" name="Picture 1695314851" descr="A timeseries lines chart showing the proportion of patients who waited longer than four months for assessment or elective treatment/surgery, between January 2020 and December 2022. The chart shows that for both those ‘given a commitment to treatment but not treated within 4 months’ and ‘waiting longer than 4 months for their first specialist assessment’ have both generally increased over time.&#1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163230" cy="2581617"/>
                    </a:xfrm>
                    <a:prstGeom prst="rect">
                      <a:avLst/>
                    </a:prstGeom>
                  </pic:spPr>
                </pic:pic>
              </a:graphicData>
            </a:graphic>
          </wp:inline>
        </w:drawing>
      </w:r>
    </w:p>
    <w:p w14:paraId="6B16F0FB" w14:textId="77777777" w:rsidR="00395CB9" w:rsidRPr="00FE2BAD" w:rsidRDefault="00395CB9" w:rsidP="00FE2BAD">
      <w:pPr>
        <w:pStyle w:val="Source"/>
        <w:rPr>
          <w:rFonts w:eastAsiaTheme="majorEastAsia"/>
        </w:rPr>
      </w:pPr>
      <w:r w:rsidRPr="00FE2BAD">
        <w:rPr>
          <w:rFonts w:eastAsiaTheme="majorEastAsia"/>
        </w:rPr>
        <w:t>Source: Manatū Hauora unpublished data (2023)</w:t>
      </w:r>
    </w:p>
    <w:p w14:paraId="6A27CB96" w14:textId="77777777" w:rsidR="00395CB9" w:rsidRPr="0007414B" w:rsidRDefault="00395CB9" w:rsidP="00395CB9"/>
    <w:p w14:paraId="13BA23D2" w14:textId="77777777" w:rsidR="00395CB9" w:rsidRPr="0007414B" w:rsidRDefault="00395CB9" w:rsidP="00395CB9">
      <w:pPr>
        <w:pStyle w:val="Heading5"/>
      </w:pPr>
      <w:r w:rsidRPr="0007414B">
        <w:t>Types of planned care interventions</w:t>
      </w:r>
    </w:p>
    <w:p w14:paraId="66FCD919" w14:textId="77777777" w:rsidR="00395CB9" w:rsidRPr="0007414B" w:rsidRDefault="00395CB9" w:rsidP="00FE2BAD">
      <w:r w:rsidRPr="0007414B">
        <w:t xml:space="preserve">The number of minor procedures (defined as minor surgical operations completed in an inpatient, outpatient or community setting) increased from 92,160 in 2018 to 143,872 in 2021, before decreasing to 142,568 in 2022. The number of inpatient surgical treatments fell from 178,174 in 2018 to 157,163 in 2022. </w:t>
      </w:r>
    </w:p>
    <w:p w14:paraId="0D217B90" w14:textId="77777777" w:rsidR="00395CB9" w:rsidRPr="0007414B" w:rsidRDefault="00395CB9" w:rsidP="00FE2BAD"/>
    <w:p w14:paraId="588DF0DE" w14:textId="375CC5A6" w:rsidR="00395CB9" w:rsidRPr="0007414B" w:rsidRDefault="00395CB9" w:rsidP="00FE2BAD">
      <w:r w:rsidRPr="0007414B">
        <w:fldChar w:fldCharType="begin"/>
      </w:r>
      <w:r w:rsidRPr="0007414B">
        <w:instrText xml:space="preserve"> REF _Ref132373345 \h  \* MERGEFORMAT </w:instrText>
      </w:r>
      <w:r w:rsidRPr="0007414B">
        <w:fldChar w:fldCharType="separate"/>
      </w:r>
      <w:r w:rsidR="00BE208D" w:rsidRPr="0007414B">
        <w:t xml:space="preserve">Figure </w:t>
      </w:r>
      <w:r w:rsidR="00BE208D">
        <w:t>39</w:t>
      </w:r>
      <w:r w:rsidRPr="0007414B">
        <w:fldChar w:fldCharType="end"/>
      </w:r>
      <w:r w:rsidRPr="0007414B">
        <w:t xml:space="preserve"> details the number of inpatient surgical treatment and minor procedures delivered from 2018 to 2022.</w:t>
      </w:r>
    </w:p>
    <w:p w14:paraId="585E5F45" w14:textId="77777777" w:rsidR="00395CB9" w:rsidRPr="0007414B" w:rsidRDefault="00395CB9" w:rsidP="00FE2BAD"/>
    <w:p w14:paraId="3779C61D" w14:textId="5117FB9E" w:rsidR="00395CB9" w:rsidRPr="0007414B" w:rsidRDefault="00395CB9" w:rsidP="00FE2BAD">
      <w:pPr>
        <w:pStyle w:val="Figure"/>
      </w:pPr>
      <w:bookmarkStart w:id="185" w:name="_Ref132373345"/>
      <w:bookmarkStart w:id="186" w:name="_Toc138326981"/>
      <w:bookmarkStart w:id="187" w:name="_Toc138409962"/>
      <w:r w:rsidRPr="0007414B">
        <w:t xml:space="preserve">Figure </w:t>
      </w:r>
      <w:r>
        <w:fldChar w:fldCharType="begin"/>
      </w:r>
      <w:r>
        <w:instrText>SEQ Figure \* ARABIC</w:instrText>
      </w:r>
      <w:r>
        <w:fldChar w:fldCharType="separate"/>
      </w:r>
      <w:r w:rsidR="00BE208D">
        <w:rPr>
          <w:noProof/>
        </w:rPr>
        <w:t>39</w:t>
      </w:r>
      <w:r>
        <w:fldChar w:fldCharType="end"/>
      </w:r>
      <w:bookmarkEnd w:id="185"/>
      <w:r w:rsidRPr="0007414B">
        <w:t>: Number of inpatient surgical treatment and minor procedures (planned care interventions), 2018–2022</w:t>
      </w:r>
      <w:bookmarkEnd w:id="186"/>
      <w:bookmarkEnd w:id="187"/>
    </w:p>
    <w:p w14:paraId="55B21D87" w14:textId="77777777" w:rsidR="00395CB9" w:rsidRPr="0007414B" w:rsidRDefault="00395CB9" w:rsidP="00395CB9">
      <w:pPr>
        <w:spacing w:after="160" w:line="259" w:lineRule="auto"/>
        <w:rPr>
          <w:rFonts w:cs="Segoe UI"/>
        </w:rPr>
      </w:pPr>
      <w:r w:rsidRPr="0007414B">
        <w:rPr>
          <w:noProof/>
        </w:rPr>
        <w:drawing>
          <wp:inline distT="0" distB="0" distL="0" distR="0" wp14:anchorId="4F1DF8E0" wp14:editId="7193C780">
            <wp:extent cx="5150068" cy="2575035"/>
            <wp:effectExtent l="0" t="0" r="0" b="0"/>
            <wp:docPr id="1695314853" name="Picture 1695314853" descr="A timeseries line chart showing the number of planned care interventions; both inpatient surgical treatments, and minor procedures, between 2018 and 2022. The number minor procedures increased from 92,160 in 2018 to 142,568 in 2022. The number of inpatient surgical treatments generally fell from 178,174 in 2018 to 157,163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3" name="Picture 1695314853" descr="A timeseries line chart showing the number of planned care interventions; both inpatient surgical treatments, and minor procedures, between 2018 and 2022. The number minor procedures increased from 92,160 in 2018 to 142,568 in 2022. The number of inpatient surgical treatments generally fell from 178,174 in 2018 to 157,163 in 2022.&#1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69145" cy="2584573"/>
                    </a:xfrm>
                    <a:prstGeom prst="rect">
                      <a:avLst/>
                    </a:prstGeom>
                  </pic:spPr>
                </pic:pic>
              </a:graphicData>
            </a:graphic>
          </wp:inline>
        </w:drawing>
      </w:r>
      <w:r w:rsidRPr="0007414B">
        <w:rPr>
          <w:rFonts w:cs="Segoe UI"/>
        </w:rPr>
        <w:t xml:space="preserve"> </w:t>
      </w:r>
    </w:p>
    <w:p w14:paraId="2D239976" w14:textId="77777777" w:rsidR="00395CB9" w:rsidRPr="0007414B" w:rsidRDefault="00395CB9" w:rsidP="00FE2BAD">
      <w:pPr>
        <w:pStyle w:val="Source"/>
        <w:rPr>
          <w:rFonts w:eastAsiaTheme="majorEastAsia"/>
        </w:rPr>
      </w:pPr>
      <w:r w:rsidRPr="0007414B">
        <w:rPr>
          <w:rFonts w:eastAsiaTheme="majorEastAsia"/>
        </w:rPr>
        <w:t>Source: Manatū Hauora unpublished data (2023)</w:t>
      </w:r>
    </w:p>
    <w:p w14:paraId="49C32067" w14:textId="77777777" w:rsidR="00395CB9" w:rsidRPr="0007414B" w:rsidRDefault="00395CB9" w:rsidP="00395CB9">
      <w:pPr>
        <w:pStyle w:val="Heading5"/>
      </w:pPr>
      <w:r w:rsidRPr="0007414B">
        <w:lastRenderedPageBreak/>
        <w:t>Adult hospital inpatient experience survey</w:t>
      </w:r>
    </w:p>
    <w:p w14:paraId="5DBEF5C5" w14:textId="77777777" w:rsidR="00395CB9" w:rsidRPr="0007414B" w:rsidRDefault="00395CB9" w:rsidP="00FE2BAD">
      <w:bookmarkStart w:id="188" w:name="_Hlk135748881"/>
      <w:r w:rsidRPr="0007414B">
        <w:t xml:space="preserve">Since 2014, Te Tāhū Hauora </w:t>
      </w:r>
      <w:bookmarkEnd w:id="188"/>
      <w:r w:rsidRPr="0007414B">
        <w:t>— Health Quality &amp; Safety Commission has been conducting an adult hospital inpatient experience survey every 3 months</w:t>
      </w:r>
      <w:r w:rsidRPr="0007414B">
        <w:rPr>
          <w:shd w:val="clear" w:color="auto" w:fill="FFFFFF"/>
        </w:rPr>
        <w:t xml:space="preserve"> </w:t>
      </w:r>
      <w:r w:rsidRPr="0007414B">
        <w:rPr>
          <w:shd w:val="clear" w:color="auto" w:fill="FFFFFF"/>
        </w:rPr>
        <w:fldChar w:fldCharType="begin"/>
      </w:r>
      <w:r>
        <w:rPr>
          <w:shd w:val="clear" w:color="auto" w:fill="FFFFFF"/>
        </w:rPr>
        <w:instrText xml:space="preserve"> ADDIN EN.CITE &lt;EndNote&gt;&lt;Cite&gt;&lt;Author&gt;Te Tāhū Hauora&lt;/Author&gt;&lt;Year&gt;2021&lt;/Year&gt;&lt;RecNum&gt;388&lt;/RecNum&gt;&lt;DisplayText&gt;(Te Tāhū Hauora 2021)&lt;/DisplayText&gt;&lt;record&gt;&lt;rec-number&gt;388&lt;/rec-number&gt;&lt;foreign-keys&gt;&lt;key app="EN" db-id="aaepvppzs5wtfse95vsp2wahsrtvva2vvdet" timestamp="1684707183"&gt;388&lt;/key&gt;&lt;/foreign-keys&gt;&lt;ref-type name="Web Page"&gt;12&lt;/ref-type&gt;&lt;contributors&gt;&lt;authors&gt;&lt;author&gt;&lt;style face="normal" font="default" size="100%"&gt;Te T&lt;/style&gt;&lt;style face="normal" font="default" charset="238" size="100%"&gt;āhū Hauora,&lt;/style&gt;&lt;/author&gt;&lt;/authors&gt;&lt;/contributors&gt;&lt;titles&gt;&lt;title&gt;Patient experience&lt;/title&gt;&lt;/titles&gt;&lt;number&gt;27 April 2023&lt;/number&gt;&lt;dates&gt;&lt;year&gt;2021&lt;/year&gt;&lt;/dates&gt;&lt;urls&gt;&lt;related-urls&gt;&lt;url&gt;www.hqsc.govt.nz/our-data/health-quality-and-safety-indicators/patient-experience/&lt;/url&gt;&lt;/related-urls&gt;&lt;/urls&gt;&lt;/record&gt;&lt;/Cite&gt;&lt;/EndNote&gt;</w:instrText>
      </w:r>
      <w:r w:rsidRPr="0007414B">
        <w:rPr>
          <w:shd w:val="clear" w:color="auto" w:fill="FFFFFF"/>
        </w:rPr>
        <w:fldChar w:fldCharType="separate"/>
      </w:r>
      <w:r w:rsidRPr="0007414B">
        <w:rPr>
          <w:noProof/>
          <w:shd w:val="clear" w:color="auto" w:fill="FFFFFF"/>
        </w:rPr>
        <w:t>(Te Tāhū Hauora 2021)</w:t>
      </w:r>
      <w:r w:rsidRPr="0007414B">
        <w:rPr>
          <w:shd w:val="clear" w:color="auto" w:fill="FFFFFF"/>
        </w:rPr>
        <w:fldChar w:fldCharType="end"/>
      </w:r>
      <w:r w:rsidRPr="0007414B">
        <w:t>. This survey provides information about the experience of care for adults (aged 15 years and over) who stayed at least one night in a public hospital during the survey period. Ethnic</w:t>
      </w:r>
      <w:r>
        <w:t xml:space="preserve"> group</w:t>
      </w:r>
      <w:r w:rsidRPr="0007414B">
        <w:t xml:space="preserve"> data is available in </w:t>
      </w:r>
      <w:hyperlink r:id="rId113" w:history="1">
        <w:r w:rsidRPr="0007414B">
          <w:rPr>
            <w:rStyle w:val="Hyperlink"/>
            <w:rFonts w:cs="Segoe UI"/>
          </w:rPr>
          <w:t>Te Tāhū Hauora web tool</w:t>
        </w:r>
      </w:hyperlink>
      <w:r w:rsidRPr="0007414B">
        <w:t xml:space="preserve"> but we have not presented it here because it has sample size limitations </w:t>
      </w:r>
      <w:r w:rsidRPr="0007414B">
        <w:fldChar w:fldCharType="begin"/>
      </w:r>
      <w:r>
        <w:instrText xml:space="preserve"> ADDIN EN.CITE &lt;EndNote&gt;&lt;Cite&gt;&lt;Author&gt;Te Tāhū Hauora&lt;/Author&gt;&lt;Year&gt;2023&lt;/Year&gt;&lt;RecNum&gt;389&lt;/RecNum&gt;&lt;DisplayText&gt;(Te Tāhū Hauora 2023)&lt;/DisplayText&gt;&lt;record&gt;&lt;rec-number&gt;389&lt;/rec-number&gt;&lt;foreign-keys&gt;&lt;key app="EN" db-id="aaepvppzs5wtfse95vsp2wahsrtvva2vvdet" timestamp="1684707396"&gt;389&lt;/key&gt;&lt;/foreign-keys&gt;&lt;ref-type name="Web Page"&gt;12&lt;/ref-type&gt;&lt;contributors&gt;&lt;authors&gt;&lt;author&gt;&lt;style face="normal" font="default" size="100%"&gt;Te T&lt;/style&gt;&lt;style face="normal" font="default" charset="238" size="100%"&gt;āhū Hauora,&lt;/style&gt;&lt;/author&gt;&lt;/authors&gt;&lt;/contributors&gt;&lt;titles&gt;&lt;title&gt;He Ara Aupiki, He Ara Auheke: Aotearoa New Zealand patient experience survey (Data file)&lt;/title&gt;&lt;/titles&gt;&lt;number&gt;27 April 2023&lt;/number&gt;&lt;dates&gt;&lt;year&gt;2023&lt;/year&gt;&lt;/dates&gt;&lt;urls&gt;&lt;related-urls&gt;&lt;url&gt;https://reports.hqsc.govt.nz/AHI-explorer/&lt;/url&gt;&lt;/related-urls&gt;&lt;/urls&gt;&lt;/record&gt;&lt;/Cite&gt;&lt;/EndNote&gt;</w:instrText>
      </w:r>
      <w:r w:rsidRPr="0007414B">
        <w:fldChar w:fldCharType="separate"/>
      </w:r>
      <w:r w:rsidRPr="0007414B">
        <w:rPr>
          <w:noProof/>
        </w:rPr>
        <w:t>(Te Tāhū Hauora 2023)</w:t>
      </w:r>
      <w:r w:rsidRPr="0007414B">
        <w:fldChar w:fldCharType="end"/>
      </w:r>
      <w:r w:rsidRPr="0007414B">
        <w:t>.</w:t>
      </w:r>
    </w:p>
    <w:p w14:paraId="6D5B54A8" w14:textId="77777777" w:rsidR="009D7A76" w:rsidRDefault="009D7A76" w:rsidP="00FE2BAD"/>
    <w:p w14:paraId="01E7650E" w14:textId="5CB6D6CD" w:rsidR="00395CB9" w:rsidRPr="0007414B" w:rsidRDefault="00395CB9" w:rsidP="00FE2BAD">
      <w:r w:rsidRPr="0007414B">
        <w:t>The following were key findings from November 2022 (weighted results</w:t>
      </w:r>
      <w:r>
        <w:t>;</w:t>
      </w:r>
      <w:r w:rsidRPr="0007414B">
        <w:t xml:space="preserve"> </w:t>
      </w:r>
      <w:r w:rsidRPr="0007414B">
        <w:fldChar w:fldCharType="begin"/>
      </w:r>
      <w:r>
        <w:instrText xml:space="preserve"> ADDIN EN.CITE &lt;EndNote&gt;&lt;Cite&gt;&lt;Author&gt;Te Tāhū Hauora&lt;/Author&gt;&lt;Year&gt;2023&lt;/Year&gt;&lt;RecNum&gt;389&lt;/RecNum&gt;&lt;DisplayText&gt;(Te Tāhū Hauora 2023)&lt;/DisplayText&gt;&lt;record&gt;&lt;rec-number&gt;389&lt;/rec-number&gt;&lt;foreign-keys&gt;&lt;key app="EN" db-id="aaepvppzs5wtfse95vsp2wahsrtvva2vvdet" timestamp="1684707396"&gt;389&lt;/key&gt;&lt;/foreign-keys&gt;&lt;ref-type name="Web Page"&gt;12&lt;/ref-type&gt;&lt;contributors&gt;&lt;authors&gt;&lt;author&gt;&lt;style face="normal" font="default" size="100%"&gt;Te T&lt;/style&gt;&lt;style face="normal" font="default" charset="238" size="100%"&gt;āhū Hauora,&lt;/style&gt;&lt;/author&gt;&lt;/authors&gt;&lt;/contributors&gt;&lt;titles&gt;&lt;title&gt;He Ara Aupiki, He Ara Auheke: Aotearoa New Zealand patient experience survey (Data file)&lt;/title&gt;&lt;/titles&gt;&lt;number&gt;27 April 2023&lt;/number&gt;&lt;dates&gt;&lt;year&gt;2023&lt;/year&gt;&lt;/dates&gt;&lt;urls&gt;&lt;related-urls&gt;&lt;url&gt;https://reports.hqsc.govt.nz/AHI-explorer/&lt;/url&gt;&lt;/related-urls&gt;&lt;/urls&gt;&lt;/record&gt;&lt;/Cite&gt;&lt;/EndNote&gt;</w:instrText>
      </w:r>
      <w:r w:rsidRPr="0007414B">
        <w:fldChar w:fldCharType="separate"/>
      </w:r>
      <w:r w:rsidRPr="0007414B">
        <w:rPr>
          <w:noProof/>
        </w:rPr>
        <w:t>Te Tāhū Hauora 2023)</w:t>
      </w:r>
      <w:r w:rsidRPr="0007414B">
        <w:fldChar w:fldCharType="end"/>
      </w:r>
      <w:r w:rsidRPr="0007414B">
        <w:t>.</w:t>
      </w:r>
    </w:p>
    <w:p w14:paraId="642EEFE6" w14:textId="77777777" w:rsidR="00FE2BAD" w:rsidRDefault="00FE2BAD" w:rsidP="00FE2BAD"/>
    <w:p w14:paraId="251C7F70" w14:textId="46DE960B" w:rsidR="00395CB9" w:rsidRPr="0007414B" w:rsidRDefault="00395CB9" w:rsidP="00FE2BAD">
      <w:r w:rsidRPr="0007414B">
        <w:t>Among the adults reporting on their experience of inpatient care:</w:t>
      </w:r>
    </w:p>
    <w:p w14:paraId="5151ABC1" w14:textId="77777777" w:rsidR="00395CB9" w:rsidRPr="0007414B" w:rsidRDefault="00395CB9" w:rsidP="00FE2BAD">
      <w:pPr>
        <w:pStyle w:val="Bullet"/>
      </w:pPr>
      <w:r w:rsidRPr="0007414B">
        <w:t>75.4% said they were always kept informed about their treatment and care as much as they wanted to be</w:t>
      </w:r>
    </w:p>
    <w:p w14:paraId="4536E135" w14:textId="77777777" w:rsidR="00395CB9" w:rsidRPr="0007414B" w:rsidRDefault="00395CB9" w:rsidP="00FE2BAD">
      <w:pPr>
        <w:pStyle w:val="Bullet"/>
      </w:pPr>
      <w:r w:rsidRPr="0007414B">
        <w:t>83.0%</w:t>
      </w:r>
      <w:r w:rsidRPr="0007414B" w:rsidDel="00E061C5">
        <w:t xml:space="preserve"> </w:t>
      </w:r>
      <w:r w:rsidRPr="0007414B">
        <w:t>said they were involved as much as they wanted to be in making decisions about their treatment and care</w:t>
      </w:r>
    </w:p>
    <w:p w14:paraId="656A7CC7" w14:textId="77777777" w:rsidR="00395CB9" w:rsidRPr="0007414B" w:rsidRDefault="00395CB9" w:rsidP="00FE2BAD">
      <w:pPr>
        <w:pStyle w:val="Bullet"/>
      </w:pPr>
      <w:r w:rsidRPr="0007414B">
        <w:t>81.3%</w:t>
      </w:r>
      <w:r w:rsidRPr="0007414B" w:rsidDel="00E061C5">
        <w:t xml:space="preserve"> </w:t>
      </w:r>
      <w:r w:rsidRPr="0007414B">
        <w:t>said the health care team definitely explained what was going on during their visit in a way they could understand</w:t>
      </w:r>
    </w:p>
    <w:p w14:paraId="4141C5EB" w14:textId="77777777" w:rsidR="00395CB9" w:rsidRPr="0007414B" w:rsidRDefault="00395CB9" w:rsidP="00FE2BAD">
      <w:pPr>
        <w:pStyle w:val="Bullet"/>
      </w:pPr>
      <w:r w:rsidRPr="0007414B">
        <w:t>76.0% said different doctors or staff did not give them conflicting information</w:t>
      </w:r>
    </w:p>
    <w:p w14:paraId="1352AA3B" w14:textId="77777777" w:rsidR="00395CB9" w:rsidRPr="0007414B" w:rsidRDefault="00395CB9" w:rsidP="00FE2BAD">
      <w:pPr>
        <w:pStyle w:val="Bullet"/>
      </w:pPr>
      <w:r w:rsidRPr="0007414B">
        <w:t>92.2% said doctors definitely treated them with respect.</w:t>
      </w:r>
    </w:p>
    <w:p w14:paraId="65595573" w14:textId="77777777" w:rsidR="00395CB9" w:rsidRPr="0007414B" w:rsidRDefault="00395CB9" w:rsidP="00BA5AE4"/>
    <w:p w14:paraId="2F300993" w14:textId="77777777" w:rsidR="00395CB9" w:rsidRPr="0007414B" w:rsidRDefault="00395CB9" w:rsidP="00395CB9">
      <w:pPr>
        <w:spacing w:before="60" w:after="60"/>
        <w:rPr>
          <w:rFonts w:eastAsiaTheme="minorEastAsia" w:cs="Segoe UI"/>
        </w:rPr>
      </w:pPr>
      <w:r w:rsidRPr="0007414B">
        <w:rPr>
          <w:rFonts w:cs="Segoe UI"/>
        </w:rPr>
        <w:t>Among the adults reporting on their experience on discharge from care:</w:t>
      </w:r>
    </w:p>
    <w:p w14:paraId="60EC1C59" w14:textId="77777777" w:rsidR="00395CB9" w:rsidRPr="0007414B" w:rsidRDefault="00395CB9" w:rsidP="00FE2BAD">
      <w:pPr>
        <w:pStyle w:val="Bullet"/>
      </w:pPr>
      <w:r w:rsidRPr="0007414B">
        <w:t>69.7% said they definitely had enough information to manage their condition or recovery when they left hospital</w:t>
      </w:r>
    </w:p>
    <w:p w14:paraId="5D087B44" w14:textId="77777777" w:rsidR="00395CB9" w:rsidRPr="0007414B" w:rsidRDefault="00395CB9" w:rsidP="00FE2BAD">
      <w:pPr>
        <w:pStyle w:val="Bullet"/>
      </w:pPr>
      <w:r w:rsidRPr="0007414B">
        <w:t>87.3% said they were definitely told what the medicine or prescription they left hospital with was for</w:t>
      </w:r>
    </w:p>
    <w:p w14:paraId="296DBFFD" w14:textId="77777777" w:rsidR="00395CB9" w:rsidRPr="00E67141" w:rsidRDefault="00395CB9" w:rsidP="00FE2BAD">
      <w:pPr>
        <w:pStyle w:val="Bullet"/>
        <w:rPr>
          <w:rFonts w:eastAsiaTheme="majorEastAsia"/>
        </w:rPr>
      </w:pPr>
      <w:r w:rsidRPr="0007414B">
        <w:t>62.6% said they were definitely told about the possible side effects of the medicine (or prescription) they left hospital with, in a way they could understand.</w:t>
      </w:r>
    </w:p>
    <w:p w14:paraId="5C97EA8A" w14:textId="77777777" w:rsidR="00FE2BAD" w:rsidRDefault="00FE2BAD" w:rsidP="00FE2BAD">
      <w:pPr>
        <w:pStyle w:val="Heading1"/>
        <w:sectPr w:rsidR="00FE2BAD" w:rsidSect="00025EAD">
          <w:pgSz w:w="11907" w:h="16834" w:code="9"/>
          <w:pgMar w:top="1418" w:right="1701" w:bottom="1134" w:left="1843" w:header="284" w:footer="425" w:gutter="284"/>
          <w:cols w:space="720"/>
        </w:sectPr>
      </w:pPr>
      <w:bookmarkStart w:id="189" w:name="_Toc138326935"/>
    </w:p>
    <w:p w14:paraId="10536C9C" w14:textId="07C646D4" w:rsidR="00395CB9" w:rsidRPr="00FE2BAD" w:rsidRDefault="00395CB9" w:rsidP="00FE2BAD">
      <w:pPr>
        <w:pStyle w:val="Heading1"/>
        <w:spacing w:before="0"/>
      </w:pPr>
      <w:bookmarkStart w:id="190" w:name="_Toc139030821"/>
      <w:r w:rsidRPr="00FE2BAD">
        <w:lastRenderedPageBreak/>
        <w:t>COVID-19 | KOWHEORI-19</w:t>
      </w:r>
      <w:bookmarkEnd w:id="189"/>
      <w:bookmarkEnd w:id="190"/>
    </w:p>
    <w:p w14:paraId="517AEFC8" w14:textId="77777777" w:rsidR="00395CB9" w:rsidRPr="00FE2BAD" w:rsidRDefault="00395CB9" w:rsidP="00FE2BAD">
      <w:pPr>
        <w:pStyle w:val="Heading2"/>
      </w:pPr>
      <w:bookmarkStart w:id="191" w:name="_Toc138326936"/>
      <w:bookmarkStart w:id="192" w:name="_Toc139030822"/>
      <w:r w:rsidRPr="00FE2BAD">
        <w:t>Overview of 2022</w:t>
      </w:r>
      <w:bookmarkEnd w:id="191"/>
      <w:bookmarkEnd w:id="192"/>
      <w:r w:rsidRPr="00FE2BAD">
        <w:t xml:space="preserve"> </w:t>
      </w:r>
    </w:p>
    <w:p w14:paraId="744DB2AE" w14:textId="77777777" w:rsidR="00395CB9" w:rsidRPr="0007414B" w:rsidRDefault="00395CB9" w:rsidP="00FE2BAD">
      <w:r w:rsidRPr="0007414B">
        <w:t xml:space="preserve">COVID-19, a disease caused by the coronavirus SARS-CoV-2, is part of a large and diverse family of viruses that cause illnesses such as the common cold. The COVID-19 pandemic started in late 2019 in Wuhan, China, before spreading to other countries </w:t>
      </w:r>
      <w:r w:rsidRPr="0007414B">
        <w:fldChar w:fldCharType="begin"/>
      </w:r>
      <w:r>
        <w:instrText xml:space="preserve"> ADDIN EN.CITE &lt;EndNote&gt;&lt;Cite&gt;&lt;Author&gt;Mohan&lt;/Author&gt;&lt;Year&gt;2020&lt;/Year&gt;&lt;RecNum&gt;390&lt;/RecNum&gt;&lt;DisplayText&gt;(Mohan and Nambiar 2020)&lt;/DisplayText&gt;&lt;record&gt;&lt;rec-number&gt;390&lt;/rec-number&gt;&lt;foreign-keys&gt;&lt;key app="EN" db-id="aaepvppzs5wtfse95vsp2wahsrtvva2vvdet" timestamp="1684708247"&gt;390&lt;/key&gt;&lt;/foreign-keys&gt;&lt;ref-type name="Journal Article"&gt;17&lt;/ref-type&gt;&lt;contributors&gt;&lt;authors&gt;&lt;author&gt;Mohan, BS&lt;/author&gt;&lt;author&gt;Nambiar, V&lt;/author&gt;&lt;/authors&gt;&lt;/contributors&gt;&lt;titles&gt;&lt;title&gt;COVID-19: an insight into SARS-CoV-2 pandemic originated at Wuhan City in Hubei Province of China&lt;/title&gt;&lt;secondary-title&gt;Journal of Infectious Diseases and Epidemiology&lt;/secondary-title&gt;&lt;/titles&gt;&lt;periodical&gt;&lt;full-title&gt;Journal of Infectious Diseases and Epidemiology&lt;/full-title&gt;&lt;/periodical&gt;&lt;pages&gt;146&lt;/pages&gt;&lt;volume&gt;6&lt;/volume&gt;&lt;number&gt;4&lt;/number&gt;&lt;dates&gt;&lt;year&gt;2020&lt;/year&gt;&lt;/dates&gt;&lt;urls&gt;&lt;related-urls&gt;&lt;url&gt;https://clinmedjournals.org/articles/jide/journal-of-infectious-diseases-and-epidemiology-jide-6-146.php?jid=jide&lt;/url&gt;&lt;/related-urls&gt;&lt;/urls&gt;&lt;/record&gt;&lt;/Cite&gt;&lt;/EndNote&gt;</w:instrText>
      </w:r>
      <w:r w:rsidRPr="0007414B">
        <w:fldChar w:fldCharType="separate"/>
      </w:r>
      <w:r w:rsidRPr="0007414B">
        <w:rPr>
          <w:noProof/>
        </w:rPr>
        <w:t>(Mohan and Nambiar 2020)</w:t>
      </w:r>
      <w:r w:rsidRPr="0007414B">
        <w:fldChar w:fldCharType="end"/>
      </w:r>
      <w:r w:rsidRPr="0007414B">
        <w:t xml:space="preserve">. The World Health Organization (WHO) declared a global pandemic on 11 March 2020 </w:t>
      </w:r>
      <w:r w:rsidRPr="0007414B">
        <w:fldChar w:fldCharType="begin"/>
      </w:r>
      <w:r>
        <w:instrText xml:space="preserve"> ADDIN EN.CITE &lt;EndNote&gt;&lt;Cite&gt;&lt;Author&gt;World Health Organization&lt;/Author&gt;&lt;Year&gt;2021&lt;/Year&gt;&lt;RecNum&gt;391&lt;/RecNum&gt;&lt;DisplayText&gt;(World Health Organization 2021)&lt;/DisplayText&gt;&lt;record&gt;&lt;rec-number&gt;391&lt;/rec-number&gt;&lt;foreign-keys&gt;&lt;key app="EN" db-id="aaepvppzs5wtfse95vsp2wahsrtvva2vvdet" timestamp="1684708394"&gt;391&lt;/key&gt;&lt;/foreign-keys&gt;&lt;ref-type name="Web Page"&gt;12&lt;/ref-type&gt;&lt;contributors&gt;&lt;authors&gt;&lt;author&gt;World Health Organization,&lt;/author&gt;&lt;/authors&gt;&lt;/contributors&gt;&lt;titles&gt;&lt;title&gt;Coronavirus disease (COVID-19) pandemic&lt;/title&gt;&lt;/titles&gt;&lt;number&gt;18 May 2023&lt;/number&gt;&lt;dates&gt;&lt;year&gt;2021&lt;/year&gt;&lt;/dates&gt;&lt;urls&gt;&lt;related-urls&gt;&lt;url&gt;www.who.int/europe/emergencies/situations/covid-19&lt;/url&gt;&lt;/related-urls&gt;&lt;/urls&gt;&lt;/record&gt;&lt;/Cite&gt;&lt;/EndNote&gt;</w:instrText>
      </w:r>
      <w:r w:rsidRPr="0007414B">
        <w:fldChar w:fldCharType="separate"/>
      </w:r>
      <w:r>
        <w:rPr>
          <w:noProof/>
        </w:rPr>
        <w:t>(World Health Organization 2021)</w:t>
      </w:r>
      <w:r w:rsidRPr="0007414B">
        <w:fldChar w:fldCharType="end"/>
      </w:r>
      <w:r w:rsidRPr="0007414B">
        <w:t>.</w:t>
      </w:r>
    </w:p>
    <w:p w14:paraId="63CCB40C" w14:textId="77777777" w:rsidR="00395CB9" w:rsidRPr="0007414B" w:rsidRDefault="00395CB9" w:rsidP="00FE2BAD">
      <w:pPr>
        <w:rPr>
          <w:szCs w:val="21"/>
        </w:rPr>
      </w:pPr>
    </w:p>
    <w:p w14:paraId="3F240D7F" w14:textId="77777777" w:rsidR="00395CB9" w:rsidRPr="0007414B" w:rsidRDefault="00395CB9" w:rsidP="00FE2BAD">
      <w:pPr>
        <w:rPr>
          <w:szCs w:val="21"/>
        </w:rPr>
      </w:pPr>
      <w:r w:rsidRPr="0007414B">
        <w:rPr>
          <w:szCs w:val="21"/>
        </w:rPr>
        <w:t xml:space="preserve">Over time, the COVID-19 virus has undergone genetic mutations, some of which spread more easily than the original virus </w:t>
      </w:r>
      <w:r w:rsidRPr="0007414B">
        <w:rPr>
          <w:szCs w:val="21"/>
        </w:rPr>
        <w:fldChar w:fldCharType="begin"/>
      </w:r>
      <w:r>
        <w:rPr>
          <w:szCs w:val="21"/>
        </w:rPr>
        <w:instrText xml:space="preserve"> ADDIN EN.CITE &lt;EndNote&gt;&lt;Cite&gt;&lt;Author&gt;Manatū Hauora&lt;/Author&gt;&lt;Year&gt;2022&lt;/Year&gt;&lt;RecNum&gt;200&lt;/RecNum&gt;&lt;DisplayText&gt;(Manatū Hauora 2022e)&lt;/DisplayText&gt;&lt;record&gt;&lt;rec-number&gt;200&lt;/rec-number&gt;&lt;foreign-keys&gt;&lt;key app="EN" db-id="aaepvppzs5wtfse95vsp2wahsrtvva2vvdet" timestamp="1663735258"&gt;200&lt;/key&gt;&lt;/foreign-keys&gt;&lt;ref-type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variants&lt;/title&gt;&lt;/titles&gt;&lt;number&gt;21 September 2022&lt;/number&gt;&lt;dates&gt;&lt;year&gt;2022&lt;/year&gt;&lt;/dates&gt;&lt;urls&gt;&lt;related-urls&gt;&lt;url&gt;www.health.govt.nz/covid-19-novel-coronavirus/covid-19-health-advice-public/about-covid-19/covid-19-variants&lt;/url&gt;&lt;/related-urls&gt;&lt;/urls&gt;&lt;/record&gt;&lt;/Cite&gt;&lt;/EndNote&gt;</w:instrText>
      </w:r>
      <w:r w:rsidRPr="0007414B">
        <w:rPr>
          <w:szCs w:val="21"/>
        </w:rPr>
        <w:fldChar w:fldCharType="separate"/>
      </w:r>
      <w:r w:rsidRPr="0007414B">
        <w:rPr>
          <w:noProof/>
          <w:szCs w:val="21"/>
        </w:rPr>
        <w:t>(Manatū Hauora 2022e)</w:t>
      </w:r>
      <w:r w:rsidRPr="0007414B">
        <w:rPr>
          <w:szCs w:val="21"/>
        </w:rPr>
        <w:fldChar w:fldCharType="end"/>
      </w:r>
      <w:r w:rsidRPr="0007414B">
        <w:rPr>
          <w:szCs w:val="21"/>
        </w:rPr>
        <w:t xml:space="preserve">. The WHO first classified Omicron as a variant of concern in November 2021. It spread worldwide and was the dominant variant in many countries in 2022. Aotearoa New Zealand recorded its first Omicron community case on 18 January 2022; by late February 2022, it was recording more than 20,000 Omicron cases each day </w:t>
      </w:r>
      <w:r w:rsidRPr="0007414B">
        <w:rPr>
          <w:szCs w:val="21"/>
        </w:rPr>
        <w:fldChar w:fldCharType="begin"/>
      </w:r>
      <w:r>
        <w:rPr>
          <w:szCs w:val="21"/>
        </w:rPr>
        <w:instrText xml:space="preserve"> ADDIN EN.CITE &lt;EndNote&gt;&lt;Cite&gt;&lt;Author&gt;Public Policy Institute&lt;/Author&gt;&lt;Year&gt;2023&lt;/Year&gt;&lt;RecNum&gt;392&lt;/RecNum&gt;&lt;DisplayText&gt;(Public Policy Institute 2023)&lt;/DisplayText&gt;&lt;record&gt;&lt;rec-number&gt;392&lt;/rec-number&gt;&lt;foreign-keys&gt;&lt;key app="EN" db-id="aaepvppzs5wtfse95vsp2wahsrtvva2vvdet" timestamp="1684709097"&gt;392&lt;/key&gt;&lt;/foreign-keys&gt;&lt;ref-type name="Web Page"&gt;12&lt;/ref-type&gt;&lt;contributors&gt;&lt;authors&gt;&lt;author&gt;Public Policy Institute,&lt;/author&gt;&lt;/authors&gt;&lt;/contributors&gt;&lt;titles&gt;&lt;title&gt;COVID-19 timeline 2022&lt;/title&gt;&lt;/titles&gt;&lt;number&gt;18 May 2023&lt;/number&gt;&lt;dates&gt;&lt;year&gt;2023&lt;/year&gt;&lt;/dates&gt;&lt;urls&gt;&lt;related-urls&gt;&lt;url&gt;www.policycommons.ac.nz/covid-19-policy-resources/covid-19-timeline/covid-19-timeline-2022/&lt;/url&gt;&lt;/related-urls&gt;&lt;/urls&gt;&lt;/record&gt;&lt;/Cite&gt;&lt;/EndNote&gt;</w:instrText>
      </w:r>
      <w:r w:rsidRPr="0007414B">
        <w:rPr>
          <w:szCs w:val="21"/>
        </w:rPr>
        <w:fldChar w:fldCharType="separate"/>
      </w:r>
      <w:r w:rsidRPr="0007414B">
        <w:rPr>
          <w:noProof/>
          <w:szCs w:val="21"/>
        </w:rPr>
        <w:t>(Public Policy Institute 2023</w:t>
      </w:r>
      <w:r>
        <w:rPr>
          <w:noProof/>
          <w:szCs w:val="21"/>
        </w:rPr>
        <w:t>, Te Whatu Ora 2023e</w:t>
      </w:r>
      <w:r w:rsidRPr="0007414B">
        <w:rPr>
          <w:noProof/>
          <w:szCs w:val="21"/>
        </w:rPr>
        <w:t>)</w:t>
      </w:r>
      <w:r w:rsidRPr="0007414B">
        <w:rPr>
          <w:szCs w:val="21"/>
        </w:rPr>
        <w:fldChar w:fldCharType="end"/>
      </w:r>
      <w:r w:rsidRPr="0007414B">
        <w:rPr>
          <w:szCs w:val="21"/>
        </w:rPr>
        <w:t>.</w:t>
      </w:r>
    </w:p>
    <w:p w14:paraId="65269282" w14:textId="77777777" w:rsidR="00395CB9" w:rsidRPr="0007414B" w:rsidRDefault="00395CB9" w:rsidP="00FE2BAD">
      <w:pPr>
        <w:rPr>
          <w:szCs w:val="21"/>
        </w:rPr>
      </w:pPr>
    </w:p>
    <w:p w14:paraId="13CF691C" w14:textId="77777777" w:rsidR="00395CB9" w:rsidRPr="0007414B" w:rsidRDefault="00395CB9" w:rsidP="00FE2BAD">
      <w:r w:rsidRPr="0007414B">
        <w:t xml:space="preserve">Globally, between the start of the outbreak and 31 December 2022, the World Health Organization recorded around 733 million confirmed cases of COVID-19 and 6.7 million deaths </w:t>
      </w:r>
      <w:r w:rsidRPr="0007414B">
        <w:fldChar w:fldCharType="begin"/>
      </w:r>
      <w:r>
        <w:instrText xml:space="preserve"> ADDIN EN.CITE &lt;EndNote&gt;&lt;Cite&gt;&lt;Author&gt;World Health Organization&lt;/Author&gt;&lt;Year&gt;2023&lt;/Year&gt;&lt;RecNum&gt;322&lt;/RecNum&gt;&lt;DisplayText&gt;(World Health Organization 2023)&lt;/DisplayText&gt;&lt;record&gt;&lt;rec-number&gt;322&lt;/rec-number&gt;&lt;foreign-keys&gt;&lt;key app="EN" db-id="aaepvppzs5wtfse95vsp2wahsrtvva2vvdet" timestamp="1683260372"&gt;322&lt;/key&gt;&lt;/foreign-keys&gt;&lt;ref-type name="Web Page"&gt;12&lt;/ref-type&gt;&lt;contributors&gt;&lt;authors&gt;&lt;author&gt;World Health Organization,&lt;/author&gt;&lt;/authors&gt;&lt;/contributors&gt;&lt;titles&gt;&lt;title&gt;WHO Coronavirus (COVID-19) Dashboard&lt;/title&gt;&lt;/titles&gt;&lt;number&gt;28 April 2023&lt;/number&gt;&lt;dates&gt;&lt;year&gt;2023&lt;/year&gt;&lt;/dates&gt;&lt;urls&gt;&lt;related-urls&gt;&lt;url&gt;https://covid19.who.int/&lt;/url&gt;&lt;/related-urls&gt;&lt;/urls&gt;&lt;/record&gt;&lt;/Cite&gt;&lt;/EndNote&gt;</w:instrText>
      </w:r>
      <w:r w:rsidRPr="0007414B">
        <w:fldChar w:fldCharType="separate"/>
      </w:r>
      <w:r>
        <w:rPr>
          <w:noProof/>
        </w:rPr>
        <w:t>(World Health Organization 2023)</w:t>
      </w:r>
      <w:r w:rsidRPr="0007414B">
        <w:fldChar w:fldCharType="end"/>
      </w:r>
      <w:r w:rsidRPr="0007414B">
        <w:t xml:space="preserve">. </w:t>
      </w:r>
    </w:p>
    <w:p w14:paraId="17000F85" w14:textId="77777777" w:rsidR="00395CB9" w:rsidRPr="0007414B" w:rsidRDefault="00395CB9" w:rsidP="00FE2BAD">
      <w:pPr>
        <w:rPr>
          <w:szCs w:val="21"/>
        </w:rPr>
      </w:pPr>
    </w:p>
    <w:p w14:paraId="78602B91" w14:textId="77777777" w:rsidR="00395CB9" w:rsidRPr="0007414B" w:rsidRDefault="00395CB9" w:rsidP="00FE2BAD">
      <w:r w:rsidRPr="0007414B">
        <w:t xml:space="preserve">By 31 December 2022, Aotearoa New Zealand had recorded 2,115,733 confirmed community cases of COVID-19 and 2,407 deaths since the pandemic began </w:t>
      </w:r>
      <w:r w:rsidRPr="0007414B">
        <w:fldChar w:fldCharType="begin"/>
      </w:r>
      <w:r w:rsidRPr="0007414B">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fldChar w:fldCharType="separate"/>
      </w:r>
      <w:r w:rsidRPr="0007414B">
        <w:t>(Te Whatu Ora 2023e)</w:t>
      </w:r>
      <w:r w:rsidRPr="0007414B">
        <w:fldChar w:fldCharType="end"/>
      </w:r>
      <w:r w:rsidRPr="0007414B">
        <w:t>. The vast majority of these, 2,101,527 cases and 2,358 deaths, were recorded in the 2022 calendar year. Note that the COVID-19 data in this section was extracted on 17 March 2023 and may differ to other published sources due to reclassification or historical reporting. Mortality data is not confirmed as final until after a 3-year period because the coroner is conducting an ongoing investigation of some cases.</w:t>
      </w:r>
    </w:p>
    <w:p w14:paraId="1C745A1B" w14:textId="77777777" w:rsidR="00395CB9" w:rsidRPr="0007414B" w:rsidRDefault="00395CB9" w:rsidP="00FE2BAD">
      <w:pPr>
        <w:rPr>
          <w:szCs w:val="21"/>
        </w:rPr>
      </w:pPr>
    </w:p>
    <w:p w14:paraId="36B17E2C" w14:textId="61C51095" w:rsidR="00395CB9" w:rsidRPr="0007414B" w:rsidRDefault="00395CB9" w:rsidP="00FE2BAD">
      <w:pPr>
        <w:rPr>
          <w:b/>
          <w:sz w:val="20"/>
        </w:rPr>
      </w:pPr>
      <w:r w:rsidRPr="0007414B">
        <w:t xml:space="preserve">In 2022, Aotearoa New Zealand recorded 38,574 deaths, 10.4% (3,642) more than in 2021 </w:t>
      </w:r>
      <w:r w:rsidRPr="0007414B">
        <w:fldChar w:fldCharType="begin"/>
      </w:r>
      <w:r>
        <w:instrText xml:space="preserve"> ADDIN EN.CITE &lt;EndNote&gt;&lt;Cite&gt;&lt;Author&gt;Stats NZ&lt;/Author&gt;&lt;Year&gt;2023&lt;/Year&gt;&lt;RecNum&gt;323&lt;/RecNum&gt;&lt;DisplayText&gt;(Stats NZ 2023a)&lt;/DisplayText&gt;&lt;record&gt;&lt;rec-number&gt;323&lt;/rec-number&gt;&lt;foreign-keys&gt;&lt;key app="EN" db-id="aaepvppzs5wtfse95vsp2wahsrtvva2vvdet" timestamp="1683260558"&gt;323&lt;/key&gt;&lt;/foreign-keys&gt;&lt;ref-type name="Web Page"&gt;12&lt;/ref-type&gt;&lt;contributors&gt;&lt;authors&gt;&lt;author&gt;Stats NZ,&lt;/author&gt;&lt;/authors&gt;&lt;/contributors&gt;&lt;titles&gt;&lt;title&gt;Births and deaths: Year ended December 2022 (including abridged period life table)&lt;/title&gt;&lt;/titles&gt;&lt;number&gt;5 May 2023&lt;/number&gt;&lt;dates&gt;&lt;year&gt;2023&lt;/year&gt;&lt;/dates&gt;&lt;urls&gt;&lt;related-urls&gt;&lt;url&gt;www.stats.govt.nz/information-releases/births-and-deaths-year-ended-december-2022-including-abridged-period-life-table/&lt;/url&gt;&lt;/related-urls&gt;&lt;/urls&gt;&lt;/record&gt;&lt;/Cite&gt;&lt;/EndNote&gt;</w:instrText>
      </w:r>
      <w:r w:rsidRPr="0007414B">
        <w:fldChar w:fldCharType="separate"/>
      </w:r>
      <w:r w:rsidRPr="0007414B">
        <w:rPr>
          <w:noProof/>
        </w:rPr>
        <w:t>(Stats NZ 2023a)</w:t>
      </w:r>
      <w:r w:rsidRPr="0007414B">
        <w:fldChar w:fldCharType="end"/>
      </w:r>
      <w:r w:rsidRPr="0007414B">
        <w:t xml:space="preserve">. This is the largest increase in the number of registered deaths since the 1918 influenza pandemic, when 5,836 additional deaths were recorded compared with the year before, which </w:t>
      </w:r>
      <w:r w:rsidR="00FD2F41">
        <w:t>was</w:t>
      </w:r>
      <w:r w:rsidRPr="0007414B">
        <w:t xml:space="preserve"> a 55.4% increase </w:t>
      </w:r>
      <w:r w:rsidRPr="0007414B">
        <w:fldChar w:fldCharType="begin"/>
      </w:r>
      <w:r>
        <w:instrText xml:space="preserve"> ADDIN EN.CITE &lt;EndNote&gt;&lt;Cite&gt;&lt;Author&gt;Stats NZ&lt;/Author&gt;&lt;Year&gt;1936&lt;/Year&gt;&lt;RecNum&gt;394&lt;/RecNum&gt;&lt;DisplayText&gt;(Stats NZ 1936)&lt;/DisplayText&gt;&lt;record&gt;&lt;rec-number&gt;394&lt;/rec-number&gt;&lt;foreign-keys&gt;&lt;key app="EN" db-id="aaepvppzs5wtfse95vsp2wahsrtvva2vvdet" timestamp="1684709633"&gt;394&lt;/key&gt;&lt;/foreign-keys&gt;&lt;ref-type name="Web Page"&gt;12&lt;/ref-type&gt;&lt;contributors&gt;&lt;authors&gt;&lt;author&gt;Stats NZ,&lt;/author&gt;&lt;/authors&gt;&lt;/contributors&gt;&lt;titles&gt;&lt;title&gt;The New Zealand Official Year-book, 1936&lt;/title&gt;&lt;/titles&gt;&lt;dates&gt;&lt;year&gt;1936&lt;/year&gt;&lt;/dates&gt;&lt;urls&gt;&lt;related-urls&gt;&lt;url&gt;https://www3.stats.govt.nz/New_Zealand_Official_Yearbooks/1936/NZOYB_1936.html#idsect1_1_39354&lt;/url&gt;&lt;/related-urls&gt;&lt;/urls&gt;&lt;/record&gt;&lt;/Cite&gt;&lt;/EndNote&gt;</w:instrText>
      </w:r>
      <w:r w:rsidRPr="0007414B">
        <w:fldChar w:fldCharType="separate"/>
      </w:r>
      <w:r w:rsidRPr="0007414B">
        <w:rPr>
          <w:noProof/>
        </w:rPr>
        <w:t>(Stats NZ 1936)</w:t>
      </w:r>
      <w:r w:rsidRPr="0007414B">
        <w:fldChar w:fldCharType="end"/>
      </w:r>
      <w:r w:rsidRPr="0007414B">
        <w:t xml:space="preserve">. </w:t>
      </w:r>
      <w:r w:rsidR="00890976">
        <w:t xml:space="preserve">After </w:t>
      </w:r>
      <w:r w:rsidR="00955FB3">
        <w:t xml:space="preserve">two years </w:t>
      </w:r>
      <w:r w:rsidR="000F00C2">
        <w:t>of</w:t>
      </w:r>
      <w:r w:rsidR="00955FB3">
        <w:t xml:space="preserve"> </w:t>
      </w:r>
      <w:r w:rsidR="000F00C2">
        <w:t>suppressed</w:t>
      </w:r>
      <w:r w:rsidR="00955FB3">
        <w:t xml:space="preserve"> COVID-19 and influenza</w:t>
      </w:r>
      <w:r w:rsidR="00CC7F46">
        <w:t xml:space="preserve"> case</w:t>
      </w:r>
      <w:r w:rsidR="00781C64">
        <w:t>s</w:t>
      </w:r>
      <w:r w:rsidR="000F00C2">
        <w:t xml:space="preserve"> </w:t>
      </w:r>
      <w:r w:rsidR="00781C64">
        <w:t>(</w:t>
      </w:r>
      <w:r w:rsidR="001D3D8F" w:rsidRPr="001D3D8F">
        <w:t xml:space="preserve">mainly </w:t>
      </w:r>
      <w:r w:rsidR="0057466E" w:rsidRPr="001D3D8F">
        <w:t>because</w:t>
      </w:r>
      <w:r w:rsidR="001D3D8F" w:rsidRPr="001D3D8F">
        <w:t xml:space="preserve"> of</w:t>
      </w:r>
      <w:r w:rsidR="00E808C2">
        <w:t xml:space="preserve"> </w:t>
      </w:r>
      <w:r w:rsidR="004A4C35">
        <w:t>the COVID-19</w:t>
      </w:r>
      <w:r w:rsidR="0001725C">
        <w:t xml:space="preserve"> elimination </w:t>
      </w:r>
      <w:r w:rsidR="00844AB2">
        <w:t>strategy</w:t>
      </w:r>
      <w:r w:rsidR="00781C64">
        <w:t xml:space="preserve">) </w:t>
      </w:r>
      <w:r w:rsidR="00B3347E">
        <w:t xml:space="preserve">deaths from </w:t>
      </w:r>
      <w:r w:rsidR="00795A29">
        <w:t>COVID-</w:t>
      </w:r>
      <w:r w:rsidR="00B3347E">
        <w:t>19</w:t>
      </w:r>
      <w:r w:rsidRPr="0007414B">
        <w:t xml:space="preserve"> </w:t>
      </w:r>
      <w:r>
        <w:t>increased</w:t>
      </w:r>
      <w:r w:rsidR="009A5EC0">
        <w:t xml:space="preserve"> in 2022</w:t>
      </w:r>
      <w:r w:rsidR="00A45837">
        <w:t xml:space="preserve"> </w:t>
      </w:r>
      <w:r w:rsidR="00613AEA">
        <w:t xml:space="preserve">(see: </w:t>
      </w:r>
      <w:r w:rsidR="00613AEA">
        <w:fldChar w:fldCharType="begin"/>
      </w:r>
      <w:r w:rsidR="00613AEA">
        <w:instrText xml:space="preserve"> REF _Ref138752188 \h </w:instrText>
      </w:r>
      <w:r w:rsidR="00613AEA">
        <w:fldChar w:fldCharType="separate"/>
      </w:r>
      <w:r w:rsidR="00BE208D" w:rsidRPr="0007414B">
        <w:t>COVID-19 deaths</w:t>
      </w:r>
      <w:r w:rsidR="00613AEA">
        <w:fldChar w:fldCharType="end"/>
      </w:r>
      <w:r w:rsidR="00613AEA">
        <w:t>)</w:t>
      </w:r>
      <w:r w:rsidR="005A529F">
        <w:t xml:space="preserve">. </w:t>
      </w:r>
      <w:r w:rsidRPr="0007414B">
        <w:t xml:space="preserve">The </w:t>
      </w:r>
      <w:r>
        <w:t xml:space="preserve">increased number of deaths </w:t>
      </w:r>
      <w:r w:rsidR="00F10AF5">
        <w:t>is</w:t>
      </w:r>
      <w:r w:rsidR="005A529F">
        <w:t xml:space="preserve"> also</w:t>
      </w:r>
      <w:r>
        <w:t xml:space="preserve"> impacted by </w:t>
      </w:r>
      <w:r w:rsidR="005A529F">
        <w:t xml:space="preserve">our </w:t>
      </w:r>
      <w:r>
        <w:t xml:space="preserve">ageing population </w:t>
      </w:r>
      <w:r w:rsidRPr="0007414B">
        <w:fldChar w:fldCharType="begin"/>
      </w:r>
      <w:r>
        <w:instrText xml:space="preserve"> ADDIN EN.CITE &lt;EndNote&gt;&lt;Cite&gt;&lt;Author&gt;Stats NZ&lt;/Author&gt;&lt;Year&gt;2023&lt;/Year&gt;&lt;RecNum&gt;323&lt;/RecNum&gt;&lt;DisplayText&gt;(Stats NZ 2023a)&lt;/DisplayText&gt;&lt;record&gt;&lt;rec-number&gt;323&lt;/rec-number&gt;&lt;foreign-keys&gt;&lt;key app="EN" db-id="aaepvppzs5wtfse95vsp2wahsrtvva2vvdet" timestamp="1683260558"&gt;323&lt;/key&gt;&lt;/foreign-keys&gt;&lt;ref-type name="Web Page"&gt;12&lt;/ref-type&gt;&lt;contributors&gt;&lt;authors&gt;&lt;author&gt;Stats NZ,&lt;/author&gt;&lt;/authors&gt;&lt;/contributors&gt;&lt;titles&gt;&lt;title&gt;Births and deaths: Year ended December 2022 (including abridged period life table)&lt;/title&gt;&lt;/titles&gt;&lt;number&gt;5 May 2023&lt;/number&gt;&lt;dates&gt;&lt;year&gt;2023&lt;/year&gt;&lt;/dates&gt;&lt;urls&gt;&lt;related-urls&gt;&lt;url&gt;www.stats.govt.nz/information-releases/births-and-deaths-year-ended-december-2022-including-abridged-period-life-table/&lt;/url&gt;&lt;/related-urls&gt;&lt;/urls&gt;&lt;/record&gt;&lt;/Cite&gt;&lt;/EndNote&gt;</w:instrText>
      </w:r>
      <w:r w:rsidRPr="0007414B">
        <w:fldChar w:fldCharType="separate"/>
      </w:r>
      <w:r w:rsidRPr="0007414B">
        <w:rPr>
          <w:noProof/>
        </w:rPr>
        <w:t>(Stats NZ 2023a)</w:t>
      </w:r>
      <w:r w:rsidRPr="0007414B">
        <w:fldChar w:fldCharType="end"/>
      </w:r>
      <w:r>
        <w:t>.</w:t>
      </w:r>
      <w:r w:rsidR="007D5C54">
        <w:t xml:space="preserve"> </w:t>
      </w:r>
      <w:r w:rsidR="00114571">
        <w:t>Generally median age at death ranges from 80.</w:t>
      </w:r>
      <w:r w:rsidR="00E478F5">
        <w:t>3</w:t>
      </w:r>
      <w:r w:rsidR="00114571">
        <w:t xml:space="preserve"> to 80.</w:t>
      </w:r>
      <w:r w:rsidR="00E478F5">
        <w:t>8</w:t>
      </w:r>
      <w:r w:rsidR="002F0307">
        <w:t xml:space="preserve"> (in the last </w:t>
      </w:r>
      <w:r w:rsidR="00E478F5">
        <w:t>10</w:t>
      </w:r>
      <w:r w:rsidR="002F0307">
        <w:t xml:space="preserve"> years)</w:t>
      </w:r>
      <w:r w:rsidR="00A72BD0">
        <w:t>,</w:t>
      </w:r>
      <w:r w:rsidR="00A932F9">
        <w:t xml:space="preserve"> in 2022</w:t>
      </w:r>
      <w:r w:rsidR="00A72BD0">
        <w:t xml:space="preserve"> it </w:t>
      </w:r>
      <w:r w:rsidR="00A416BA">
        <w:t>was 80.9</w:t>
      </w:r>
      <w:r w:rsidR="00275E9D">
        <w:t xml:space="preserve">, increased from a low of 80.2 in 2020. </w:t>
      </w:r>
      <w:r w:rsidR="00114571">
        <w:t xml:space="preserve">The </w:t>
      </w:r>
      <w:r w:rsidR="00D80C3E">
        <w:t>higher</w:t>
      </w:r>
      <w:r w:rsidR="00460EE5">
        <w:t xml:space="preserve"> </w:t>
      </w:r>
      <w:r w:rsidR="00BB07DB">
        <w:t xml:space="preserve">median </w:t>
      </w:r>
      <w:r w:rsidR="00460EE5">
        <w:t xml:space="preserve">age at death in 2022 </w:t>
      </w:r>
      <w:r w:rsidR="00D80C3E">
        <w:t xml:space="preserve">shows that </w:t>
      </w:r>
      <w:r w:rsidR="004B5BF1">
        <w:t>more deaths were in the older age groups</w:t>
      </w:r>
      <w:r w:rsidR="00D66CC2">
        <w:t xml:space="preserve">, </w:t>
      </w:r>
      <w:r w:rsidR="004B5BF1">
        <w:t xml:space="preserve">as </w:t>
      </w:r>
      <w:r w:rsidR="00D66CC2">
        <w:t xml:space="preserve">the number of deaths in the </w:t>
      </w:r>
      <w:r w:rsidR="003F4FF4">
        <w:t>75 years and over age group</w:t>
      </w:r>
      <w:r w:rsidR="00B351FB">
        <w:t xml:space="preserve"> </w:t>
      </w:r>
      <w:r w:rsidR="00CC1A80">
        <w:t>increased by</w:t>
      </w:r>
      <w:r w:rsidR="00B351FB">
        <w:t xml:space="preserve"> 12.8%</w:t>
      </w:r>
      <w:r w:rsidR="00DE1131">
        <w:t xml:space="preserve"> </w:t>
      </w:r>
      <w:r w:rsidR="00DE1131" w:rsidRPr="0007414B">
        <w:rPr>
          <w:rFonts w:eastAsia="Calibri Light" w:cs="Segoe UI"/>
        </w:rPr>
        <w:fldChar w:fldCharType="begin"/>
      </w:r>
      <w:r w:rsidR="00DE1131" w:rsidRPr="0007414B">
        <w:rPr>
          <w:rFonts w:eastAsia="Calibri Light" w:cs="Segoe UI"/>
        </w:rPr>
        <w:instrText xml:space="preserve"> ADDIN EN.CITE &lt;EndNote&gt;&lt;Cite&gt;&lt;Author&gt;Stats NZ&lt;/Author&gt;&lt;Year&gt;2023&lt;/Year&gt;&lt;RecNum&gt;400&lt;/RecNum&gt;&lt;DisplayText&gt;(Stats NZ 2023d)&lt;/DisplayText&gt;&lt;record&gt;&lt;rec-number&gt;400&lt;/rec-number&gt;&lt;foreign-keys&gt;&lt;key app="EN" db-id="aaepvppzs5wtfse95vsp2wahsrtvva2vvdet" timestamp="1684988363"&gt;400&lt;/key&gt;&lt;/foreign-keys&gt;&lt;ref-type name="Web Page"&gt;12&lt;/ref-type&gt;&lt;contributors&gt;&lt;authors&gt;&lt;author&gt;Stats NZ,&lt;/author&gt;&lt;/authors&gt;&lt;/contributors&gt;&lt;titles&gt;&lt;title&gt;Estimated resident population by age and sex (1991+) (Annual-Dec)&lt;/title&gt;&lt;/titles&gt;&lt;number&gt;28 April 2023&lt;/number&gt;&lt;dates&gt;&lt;year&gt;2023&lt;/year&gt;&lt;/dates&gt;&lt;urls&gt;&lt;related-urls&gt;&lt;url&gt;https://infoshare.stats.govt.nz/ViewTable.aspx?pxID=9b05b41d-e720-49fd-b1ae-9b3056e8a74a&lt;/url&gt;&lt;/related-urls&gt;&lt;/urls&gt;&lt;/record&gt;&lt;/Cite&gt;&lt;/EndNote&gt;</w:instrText>
      </w:r>
      <w:r w:rsidR="00DE1131" w:rsidRPr="0007414B">
        <w:rPr>
          <w:rFonts w:eastAsia="Calibri Light" w:cs="Segoe UI"/>
        </w:rPr>
        <w:fldChar w:fldCharType="separate"/>
      </w:r>
      <w:r w:rsidR="00DE1131" w:rsidRPr="0007414B">
        <w:rPr>
          <w:rFonts w:eastAsia="Calibri Light" w:cs="Segoe UI"/>
        </w:rPr>
        <w:t>(Stats NZ 2023d)</w:t>
      </w:r>
      <w:r w:rsidR="00DE1131" w:rsidRPr="0007414B">
        <w:rPr>
          <w:rFonts w:eastAsia="Calibri Light" w:cs="Segoe UI"/>
        </w:rPr>
        <w:fldChar w:fldCharType="end"/>
      </w:r>
      <w:r w:rsidR="003F4FF4">
        <w:t>.</w:t>
      </w:r>
    </w:p>
    <w:p w14:paraId="524238F2" w14:textId="77777777" w:rsidR="00395CB9" w:rsidRPr="0007414B" w:rsidRDefault="00395CB9" w:rsidP="00FE2BAD">
      <w:pPr>
        <w:pStyle w:val="Heading3"/>
      </w:pPr>
      <w:r w:rsidRPr="0007414B">
        <w:lastRenderedPageBreak/>
        <w:t>Timeline</w:t>
      </w:r>
    </w:p>
    <w:p w14:paraId="518F8962" w14:textId="15F2A303" w:rsidR="00395CB9" w:rsidRPr="0007414B" w:rsidRDefault="00395CB9" w:rsidP="00FE2BAD">
      <w:r w:rsidRPr="0007414B">
        <w:fldChar w:fldCharType="begin"/>
      </w:r>
      <w:r w:rsidRPr="0007414B">
        <w:instrText xml:space="preserve"> REF _Ref130978801 \h  \* MERGEFORMAT </w:instrText>
      </w:r>
      <w:r w:rsidRPr="0007414B">
        <w:fldChar w:fldCharType="separate"/>
      </w:r>
      <w:r w:rsidR="00BE208D" w:rsidRPr="0007414B">
        <w:t xml:space="preserve">Table </w:t>
      </w:r>
      <w:r w:rsidR="00BE208D">
        <w:t>10</w:t>
      </w:r>
      <w:r w:rsidRPr="0007414B">
        <w:fldChar w:fldCharType="end"/>
      </w:r>
      <w:r w:rsidRPr="0007414B">
        <w:t xml:space="preserve"> shows a timeline of events and responses related to COVID-19 in Aotearoa New Zealand throughout 2022. At the start of 2022, the </w:t>
      </w:r>
      <w:r w:rsidRPr="0007414B">
        <w:rPr>
          <w:lang w:eastAsia="en-NZ"/>
        </w:rPr>
        <w:t xml:space="preserve">COVID-19 Protection Framework (traffic light system) was in place </w:t>
      </w:r>
      <w:r w:rsidRPr="0007414B">
        <w:fldChar w:fldCharType="begin"/>
      </w:r>
      <w:r w:rsidRPr="0007414B">
        <w:instrText xml:space="preserve"> ADDIN EN.CITE &lt;EndNote&gt;&lt;Cite&gt;&lt;Author&gt;Unite against COVID-19&lt;/Author&gt;&lt;Year&gt;2022&lt;/Year&gt;&lt;RecNum&gt;325&lt;/RecNum&gt;&lt;DisplayText&gt;(Unite against COVID-19 2022b)&lt;/DisplayText&gt;&lt;record&gt;&lt;rec-number&gt;325&lt;/rec-number&gt;&lt;foreign-keys&gt;&lt;key app="EN" db-id="aaepvppzs5wtfse95vsp2wahsrtvva2vvdet" timestamp="1683260800"&gt;325&lt;/key&gt;&lt;/foreign-keys&gt;&lt;ref-type name="Web Page"&gt;12&lt;/ref-type&gt;&lt;contributors&gt;&lt;authors&gt;&lt;author&gt;Unite against COVID-19,&lt;/author&gt;&lt;/authors&gt;&lt;/contributors&gt;&lt;titles&gt;&lt;title&gt;History of the COVID-19 Protection Framework (traffic lights)&lt;/title&gt;&lt;/titles&gt;&lt;number&gt;5 May 2023&lt;/number&gt;&lt;dates&gt;&lt;year&gt;2022&lt;/year&gt;&lt;/dates&gt;&lt;urls&gt;&lt;related-urls&gt;&lt;url&gt;https://covid19.govt.nz/about-our-covid-19-response/history-of-the-covid-19-protection-framework-traffic-lights/&lt;/url&gt;&lt;/related-urls&gt;&lt;/urls&gt;&lt;/record&gt;&lt;/Cite&gt;&lt;/EndNote&gt;</w:instrText>
      </w:r>
      <w:r w:rsidRPr="0007414B">
        <w:fldChar w:fldCharType="separate"/>
      </w:r>
      <w:r w:rsidRPr="0007414B">
        <w:t>(Unite against COVID-19 2022b)</w:t>
      </w:r>
      <w:r w:rsidRPr="0007414B">
        <w:fldChar w:fldCharType="end"/>
      </w:r>
      <w:r w:rsidRPr="0007414B">
        <w:rPr>
          <w:lang w:eastAsia="en-NZ"/>
        </w:rPr>
        <w:t xml:space="preserve">. All of Aotearoa New Zealand was at the Orange setting, except for Northland, which was at the Red setting. To travel out of Auckland, people were required to be vaccinated or have proof of a negative test. </w:t>
      </w:r>
    </w:p>
    <w:p w14:paraId="0A965CE8" w14:textId="77777777" w:rsidR="00395CB9" w:rsidRPr="0007414B" w:rsidRDefault="00395CB9" w:rsidP="00395CB9">
      <w:pPr>
        <w:rPr>
          <w:rFonts w:cs="Segoe UI"/>
        </w:rPr>
      </w:pPr>
    </w:p>
    <w:p w14:paraId="4576DDC3" w14:textId="0D6009D1" w:rsidR="00395CB9" w:rsidRPr="0007414B" w:rsidRDefault="00395CB9" w:rsidP="00FE2BAD">
      <w:pPr>
        <w:pStyle w:val="Table"/>
      </w:pPr>
      <w:bookmarkStart w:id="193" w:name="_Ref130978801"/>
      <w:bookmarkStart w:id="194" w:name="_Toc118446264"/>
      <w:bookmarkStart w:id="195" w:name="_Toc119047794"/>
      <w:bookmarkStart w:id="196" w:name="_Toc138327005"/>
      <w:bookmarkStart w:id="197" w:name="_Toc138409986"/>
      <w:r w:rsidRPr="0007414B">
        <w:t xml:space="preserve">Table </w:t>
      </w:r>
      <w:r w:rsidRPr="0007414B">
        <w:fldChar w:fldCharType="begin"/>
      </w:r>
      <w:r w:rsidRPr="0007414B">
        <w:instrText>SEQ Table \* ARABIC</w:instrText>
      </w:r>
      <w:r w:rsidRPr="0007414B">
        <w:fldChar w:fldCharType="separate"/>
      </w:r>
      <w:r w:rsidR="00BE208D">
        <w:rPr>
          <w:noProof/>
        </w:rPr>
        <w:t>10</w:t>
      </w:r>
      <w:r w:rsidRPr="0007414B">
        <w:fldChar w:fldCharType="end"/>
      </w:r>
      <w:bookmarkEnd w:id="193"/>
      <w:bookmarkEnd w:id="194"/>
      <w:bookmarkEnd w:id="195"/>
      <w:r w:rsidRPr="0007414B">
        <w:t>: Timeline of major COVID-19 events in Aotearoa New Zealand, 2022</w:t>
      </w:r>
      <w:bookmarkEnd w:id="196"/>
      <w:bookmarkEnd w:id="197"/>
    </w:p>
    <w:tbl>
      <w:tblPr>
        <w:tblW w:w="514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11"/>
        <w:gridCol w:w="2020"/>
        <w:gridCol w:w="2092"/>
        <w:gridCol w:w="1984"/>
      </w:tblGrid>
      <w:tr w:rsidR="00395CB9" w:rsidRPr="00BA5AE4" w14:paraId="59DCC8FB" w14:textId="77777777" w:rsidTr="00BA5AE4">
        <w:trPr>
          <w:cantSplit/>
        </w:trPr>
        <w:tc>
          <w:tcPr>
            <w:tcW w:w="1331" w:type="pct"/>
            <w:tcBorders>
              <w:top w:val="nil"/>
              <w:bottom w:val="nil"/>
            </w:tcBorders>
            <w:shd w:val="clear" w:color="auto" w:fill="D9D9D9" w:themeFill="background1" w:themeFillShade="D9"/>
            <w:noWrap/>
            <w:hideMark/>
          </w:tcPr>
          <w:p w14:paraId="7C26657E" w14:textId="77777777" w:rsidR="00395CB9" w:rsidRPr="00BA5AE4" w:rsidRDefault="00395CB9" w:rsidP="00BA5AE4">
            <w:pPr>
              <w:pStyle w:val="TableText"/>
              <w:rPr>
                <w:b/>
                <w:bCs/>
              </w:rPr>
            </w:pPr>
            <w:r w:rsidRPr="00BA5AE4">
              <w:rPr>
                <w:b/>
                <w:bCs/>
              </w:rPr>
              <w:t>January</w:t>
            </w:r>
          </w:p>
        </w:tc>
        <w:tc>
          <w:tcPr>
            <w:tcW w:w="1216" w:type="pct"/>
            <w:tcBorders>
              <w:top w:val="nil"/>
              <w:bottom w:val="nil"/>
            </w:tcBorders>
            <w:shd w:val="clear" w:color="auto" w:fill="D9D9D9" w:themeFill="background1" w:themeFillShade="D9"/>
            <w:noWrap/>
            <w:hideMark/>
          </w:tcPr>
          <w:p w14:paraId="681082F0" w14:textId="77777777" w:rsidR="00395CB9" w:rsidRPr="00BA5AE4" w:rsidRDefault="00395CB9" w:rsidP="00BA5AE4">
            <w:pPr>
              <w:pStyle w:val="TableText"/>
              <w:rPr>
                <w:b/>
                <w:bCs/>
              </w:rPr>
            </w:pPr>
            <w:r w:rsidRPr="00BA5AE4">
              <w:rPr>
                <w:b/>
                <w:bCs/>
              </w:rPr>
              <w:t>February</w:t>
            </w:r>
          </w:p>
        </w:tc>
        <w:tc>
          <w:tcPr>
            <w:tcW w:w="1259" w:type="pct"/>
            <w:tcBorders>
              <w:top w:val="nil"/>
              <w:bottom w:val="nil"/>
            </w:tcBorders>
            <w:shd w:val="clear" w:color="auto" w:fill="D9D9D9" w:themeFill="background1" w:themeFillShade="D9"/>
            <w:noWrap/>
            <w:hideMark/>
          </w:tcPr>
          <w:p w14:paraId="5C7C2E3E" w14:textId="77777777" w:rsidR="00395CB9" w:rsidRPr="00BA5AE4" w:rsidRDefault="00395CB9" w:rsidP="00BA5AE4">
            <w:pPr>
              <w:pStyle w:val="TableText"/>
              <w:rPr>
                <w:b/>
                <w:bCs/>
              </w:rPr>
            </w:pPr>
            <w:r w:rsidRPr="00BA5AE4">
              <w:rPr>
                <w:b/>
                <w:bCs/>
              </w:rPr>
              <w:t>March</w:t>
            </w:r>
          </w:p>
        </w:tc>
        <w:tc>
          <w:tcPr>
            <w:tcW w:w="1195" w:type="pct"/>
            <w:tcBorders>
              <w:top w:val="nil"/>
              <w:bottom w:val="nil"/>
            </w:tcBorders>
            <w:shd w:val="clear" w:color="auto" w:fill="D9D9D9" w:themeFill="background1" w:themeFillShade="D9"/>
            <w:noWrap/>
            <w:hideMark/>
          </w:tcPr>
          <w:p w14:paraId="2306E06F" w14:textId="77777777" w:rsidR="00395CB9" w:rsidRPr="00BA5AE4" w:rsidRDefault="00395CB9" w:rsidP="00BA5AE4">
            <w:pPr>
              <w:pStyle w:val="TableText"/>
              <w:rPr>
                <w:b/>
                <w:bCs/>
              </w:rPr>
            </w:pPr>
            <w:r w:rsidRPr="00BA5AE4">
              <w:rPr>
                <w:b/>
                <w:bCs/>
              </w:rPr>
              <w:t>April</w:t>
            </w:r>
          </w:p>
        </w:tc>
      </w:tr>
      <w:tr w:rsidR="00395CB9" w:rsidRPr="00BA5AE4" w14:paraId="2A002D86" w14:textId="77777777" w:rsidTr="00BA5AE4">
        <w:trPr>
          <w:cantSplit/>
        </w:trPr>
        <w:tc>
          <w:tcPr>
            <w:tcW w:w="1331" w:type="pct"/>
            <w:tcBorders>
              <w:top w:val="nil"/>
              <w:bottom w:val="nil"/>
            </w:tcBorders>
            <w:shd w:val="clear" w:color="auto" w:fill="auto"/>
            <w:noWrap/>
            <w:hideMark/>
          </w:tcPr>
          <w:p w14:paraId="06172A0A" w14:textId="77777777" w:rsidR="00395CB9" w:rsidRPr="00BA5AE4" w:rsidRDefault="00395CB9" w:rsidP="00BA5AE4">
            <w:pPr>
              <w:pStyle w:val="TableText"/>
            </w:pPr>
            <w:r w:rsidRPr="00BA5AE4">
              <w:rPr>
                <w:b/>
                <w:bCs/>
              </w:rPr>
              <w:t>17:</w:t>
            </w:r>
            <w:r w:rsidRPr="00BA5AE4">
              <w:t xml:space="preserve"> Auckland boundary crossing rules end</w:t>
            </w:r>
          </w:p>
          <w:p w14:paraId="41B487D7" w14:textId="77777777" w:rsidR="00395CB9" w:rsidRPr="00BA5AE4" w:rsidRDefault="00395CB9" w:rsidP="00BA5AE4">
            <w:pPr>
              <w:pStyle w:val="TableText"/>
            </w:pPr>
            <w:r w:rsidRPr="00BA5AE4">
              <w:rPr>
                <w:b/>
                <w:bCs/>
              </w:rPr>
              <w:t>20:</w:t>
            </w:r>
            <w:r w:rsidRPr="00BA5AE4">
              <w:t xml:space="preserve"> Northland moves to Orange setting</w:t>
            </w:r>
          </w:p>
          <w:p w14:paraId="45CC2483" w14:textId="77777777" w:rsidR="00395CB9" w:rsidRPr="00BA5AE4" w:rsidRDefault="00395CB9" w:rsidP="00BA5AE4">
            <w:pPr>
              <w:pStyle w:val="TableText"/>
            </w:pPr>
            <w:r w:rsidRPr="00BA5AE4">
              <w:rPr>
                <w:b/>
                <w:bCs/>
              </w:rPr>
              <w:t>23:</w:t>
            </w:r>
            <w:r w:rsidRPr="00BA5AE4">
              <w:t xml:space="preserve"> First confirmed Omicron community case. NZ moves to Red</w:t>
            </w:r>
          </w:p>
          <w:p w14:paraId="43A19486" w14:textId="77777777" w:rsidR="00395CB9" w:rsidRPr="00BA5AE4" w:rsidRDefault="00395CB9" w:rsidP="00BA5AE4">
            <w:pPr>
              <w:pStyle w:val="TableText"/>
            </w:pPr>
            <w:r w:rsidRPr="00BA5AE4">
              <w:rPr>
                <w:b/>
                <w:bCs/>
              </w:rPr>
              <w:t>26:</w:t>
            </w:r>
            <w:r w:rsidRPr="00BA5AE4">
              <w:t xml:space="preserve"> Government introduces Omicron response plan,</w:t>
            </w:r>
            <w:r w:rsidRPr="00BA5AE4" w:rsidDel="00A301B2">
              <w:t xml:space="preserve"> </w:t>
            </w:r>
            <w:r w:rsidRPr="00BA5AE4">
              <w:t>which differs in their approaches to testing and isolation*. Phase 1 of Omicron response begins</w:t>
            </w:r>
          </w:p>
        </w:tc>
        <w:tc>
          <w:tcPr>
            <w:tcW w:w="1216" w:type="pct"/>
            <w:tcBorders>
              <w:top w:val="nil"/>
              <w:bottom w:val="nil"/>
            </w:tcBorders>
            <w:shd w:val="clear" w:color="auto" w:fill="auto"/>
            <w:noWrap/>
          </w:tcPr>
          <w:p w14:paraId="28CBB7D7" w14:textId="77777777" w:rsidR="00395CB9" w:rsidRPr="00BA5AE4" w:rsidRDefault="00395CB9" w:rsidP="00BA5AE4">
            <w:pPr>
              <w:pStyle w:val="TableText"/>
            </w:pPr>
            <w:r w:rsidRPr="00BA5AE4">
              <w:rPr>
                <w:b/>
                <w:bCs/>
              </w:rPr>
              <w:t>3:</w:t>
            </w:r>
            <w:r w:rsidRPr="00BA5AE4">
              <w:t xml:space="preserve"> Face mask rules strengthened</w:t>
            </w:r>
          </w:p>
          <w:p w14:paraId="2A5880CF" w14:textId="77777777" w:rsidR="00395CB9" w:rsidRPr="00BA5AE4" w:rsidRDefault="00395CB9" w:rsidP="00BA5AE4">
            <w:pPr>
              <w:pStyle w:val="TableText"/>
            </w:pPr>
            <w:r w:rsidRPr="00BA5AE4">
              <w:rPr>
                <w:b/>
                <w:bCs/>
              </w:rPr>
              <w:t>10:</w:t>
            </w:r>
            <w:r w:rsidRPr="00BA5AE4">
              <w:t xml:space="preserve"> Close contact exemption scheme begins </w:t>
            </w:r>
          </w:p>
          <w:p w14:paraId="2052468A" w14:textId="77777777" w:rsidR="00395CB9" w:rsidRPr="00BA5AE4" w:rsidRDefault="00395CB9" w:rsidP="00BA5AE4">
            <w:pPr>
              <w:pStyle w:val="TableText"/>
            </w:pPr>
            <w:r w:rsidRPr="00BA5AE4">
              <w:rPr>
                <w:b/>
                <w:bCs/>
              </w:rPr>
              <w:t>16:</w:t>
            </w:r>
            <w:r w:rsidRPr="00BA5AE4">
              <w:t xml:space="preserve"> All NZ moves to Phase 2 of Omicron response </w:t>
            </w:r>
          </w:p>
          <w:p w14:paraId="0F68DE99" w14:textId="77777777" w:rsidR="00395CB9" w:rsidRPr="00BA5AE4" w:rsidRDefault="00395CB9" w:rsidP="00BA5AE4">
            <w:pPr>
              <w:pStyle w:val="TableText"/>
            </w:pPr>
            <w:r w:rsidRPr="00BA5AE4">
              <w:rPr>
                <w:b/>
                <w:bCs/>
              </w:rPr>
              <w:t>24:</w:t>
            </w:r>
            <w:r w:rsidRPr="00BA5AE4">
              <w:t xml:space="preserve"> All NZ moves to Phase 3 of Omicron response</w:t>
            </w:r>
          </w:p>
        </w:tc>
        <w:tc>
          <w:tcPr>
            <w:tcW w:w="1259" w:type="pct"/>
            <w:tcBorders>
              <w:top w:val="nil"/>
              <w:bottom w:val="nil"/>
            </w:tcBorders>
            <w:shd w:val="clear" w:color="auto" w:fill="auto"/>
            <w:noWrap/>
          </w:tcPr>
          <w:p w14:paraId="45304B7B" w14:textId="77777777" w:rsidR="00395CB9" w:rsidRPr="00BA5AE4" w:rsidRDefault="00395CB9" w:rsidP="00BA5AE4">
            <w:pPr>
              <w:pStyle w:val="TableText"/>
            </w:pPr>
            <w:r w:rsidRPr="00BA5AE4">
              <w:rPr>
                <w:b/>
                <w:bCs/>
              </w:rPr>
              <w:t>11:</w:t>
            </w:r>
            <w:r w:rsidRPr="00BA5AE4">
              <w:t xml:space="preserve"> Isolation period shortens from 10 to 7 days. Mask mandates are removed from education settings</w:t>
            </w:r>
          </w:p>
          <w:p w14:paraId="68CC747D" w14:textId="77777777" w:rsidR="00395CB9" w:rsidRPr="00BA5AE4" w:rsidRDefault="00395CB9" w:rsidP="00BA5AE4">
            <w:pPr>
              <w:pStyle w:val="TableText"/>
            </w:pPr>
            <w:r w:rsidRPr="00BA5AE4">
              <w:rPr>
                <w:b/>
                <w:bCs/>
              </w:rPr>
              <w:t>25:</w:t>
            </w:r>
            <w:r w:rsidRPr="00BA5AE4">
              <w:t xml:space="preserve"> Changes to traffic light settings: indoor gathering limits increase from 100 to 200; no limits on outdoor gatherings. Contact tracing requirements end for business and other organisations</w:t>
            </w:r>
          </w:p>
        </w:tc>
        <w:tc>
          <w:tcPr>
            <w:tcW w:w="1195" w:type="pct"/>
            <w:tcBorders>
              <w:top w:val="nil"/>
              <w:bottom w:val="nil"/>
            </w:tcBorders>
            <w:shd w:val="clear" w:color="auto" w:fill="auto"/>
            <w:noWrap/>
          </w:tcPr>
          <w:p w14:paraId="069DD234" w14:textId="77777777" w:rsidR="00395CB9" w:rsidRPr="00BA5AE4" w:rsidRDefault="00395CB9" w:rsidP="00BA5AE4">
            <w:pPr>
              <w:pStyle w:val="TableText"/>
            </w:pPr>
            <w:r w:rsidRPr="00BA5AE4">
              <w:rPr>
                <w:b/>
                <w:bCs/>
              </w:rPr>
              <w:t>4:</w:t>
            </w:r>
            <w:r w:rsidRPr="00BA5AE4">
              <w:t xml:space="preserve"> Vaccine passes no longer required</w:t>
            </w:r>
          </w:p>
          <w:p w14:paraId="6F95D2DB" w14:textId="77777777" w:rsidR="00395CB9" w:rsidRPr="00BA5AE4" w:rsidRDefault="00395CB9" w:rsidP="00BA5AE4">
            <w:pPr>
              <w:pStyle w:val="TableText"/>
            </w:pPr>
            <w:r w:rsidRPr="00BA5AE4">
              <w:rPr>
                <w:b/>
                <w:bCs/>
              </w:rPr>
              <w:t>4:</w:t>
            </w:r>
            <w:r w:rsidRPr="00BA5AE4">
              <w:t xml:space="preserve"> Most vaccine mandates end for government workers</w:t>
            </w:r>
          </w:p>
          <w:p w14:paraId="61C6FDB7" w14:textId="77777777" w:rsidR="00395CB9" w:rsidRPr="00BA5AE4" w:rsidRDefault="00395CB9" w:rsidP="00BA5AE4">
            <w:pPr>
              <w:pStyle w:val="TableText"/>
            </w:pPr>
            <w:r w:rsidRPr="00BA5AE4">
              <w:rPr>
                <w:b/>
                <w:bCs/>
              </w:rPr>
              <w:t>13:</w:t>
            </w:r>
            <w:r w:rsidRPr="00BA5AE4">
              <w:t xml:space="preserve"> All NZ moves to the Orange setting</w:t>
            </w:r>
          </w:p>
        </w:tc>
      </w:tr>
      <w:tr w:rsidR="00395CB9" w:rsidRPr="00BA5AE4" w14:paraId="146DB62B" w14:textId="77777777" w:rsidTr="00BA5AE4">
        <w:trPr>
          <w:cantSplit/>
        </w:trPr>
        <w:tc>
          <w:tcPr>
            <w:tcW w:w="1331" w:type="pct"/>
            <w:tcBorders>
              <w:top w:val="nil"/>
              <w:bottom w:val="nil"/>
            </w:tcBorders>
            <w:shd w:val="clear" w:color="auto" w:fill="D9D9D9" w:themeFill="background1" w:themeFillShade="D9"/>
            <w:noWrap/>
          </w:tcPr>
          <w:p w14:paraId="63DF3190" w14:textId="77777777" w:rsidR="00395CB9" w:rsidRPr="00BA5AE4" w:rsidRDefault="00395CB9" w:rsidP="00BA5AE4">
            <w:pPr>
              <w:pStyle w:val="TableText"/>
              <w:rPr>
                <w:b/>
                <w:bCs/>
              </w:rPr>
            </w:pPr>
            <w:r w:rsidRPr="00BA5AE4">
              <w:rPr>
                <w:b/>
                <w:bCs/>
              </w:rPr>
              <w:t>May</w:t>
            </w:r>
          </w:p>
        </w:tc>
        <w:tc>
          <w:tcPr>
            <w:tcW w:w="1216" w:type="pct"/>
            <w:tcBorders>
              <w:top w:val="nil"/>
              <w:bottom w:val="nil"/>
            </w:tcBorders>
            <w:shd w:val="clear" w:color="auto" w:fill="D9D9D9" w:themeFill="background1" w:themeFillShade="D9"/>
            <w:noWrap/>
          </w:tcPr>
          <w:p w14:paraId="047D50E2" w14:textId="77777777" w:rsidR="00395CB9" w:rsidRPr="00BA5AE4" w:rsidRDefault="00395CB9" w:rsidP="00BA5AE4">
            <w:pPr>
              <w:pStyle w:val="TableText"/>
              <w:rPr>
                <w:b/>
                <w:bCs/>
              </w:rPr>
            </w:pPr>
            <w:r w:rsidRPr="00BA5AE4">
              <w:rPr>
                <w:b/>
                <w:bCs/>
              </w:rPr>
              <w:t>June</w:t>
            </w:r>
          </w:p>
        </w:tc>
        <w:tc>
          <w:tcPr>
            <w:tcW w:w="1259" w:type="pct"/>
            <w:tcBorders>
              <w:top w:val="nil"/>
              <w:bottom w:val="nil"/>
            </w:tcBorders>
            <w:shd w:val="clear" w:color="auto" w:fill="D9D9D9" w:themeFill="background1" w:themeFillShade="D9"/>
            <w:noWrap/>
          </w:tcPr>
          <w:p w14:paraId="5694B356" w14:textId="77777777" w:rsidR="00395CB9" w:rsidRPr="00BA5AE4" w:rsidRDefault="00395CB9" w:rsidP="00BA5AE4">
            <w:pPr>
              <w:pStyle w:val="TableText"/>
              <w:rPr>
                <w:b/>
                <w:bCs/>
              </w:rPr>
            </w:pPr>
            <w:r w:rsidRPr="00BA5AE4">
              <w:rPr>
                <w:b/>
                <w:bCs/>
              </w:rPr>
              <w:t>July</w:t>
            </w:r>
          </w:p>
        </w:tc>
        <w:tc>
          <w:tcPr>
            <w:tcW w:w="1195" w:type="pct"/>
            <w:tcBorders>
              <w:top w:val="nil"/>
              <w:bottom w:val="nil"/>
            </w:tcBorders>
            <w:shd w:val="clear" w:color="auto" w:fill="D9D9D9" w:themeFill="background1" w:themeFillShade="D9"/>
            <w:noWrap/>
          </w:tcPr>
          <w:p w14:paraId="21B0BDCA" w14:textId="77777777" w:rsidR="00395CB9" w:rsidRPr="00BA5AE4" w:rsidRDefault="00395CB9" w:rsidP="00BA5AE4">
            <w:pPr>
              <w:pStyle w:val="TableText"/>
              <w:rPr>
                <w:b/>
                <w:bCs/>
              </w:rPr>
            </w:pPr>
            <w:r w:rsidRPr="00BA5AE4">
              <w:rPr>
                <w:b/>
                <w:bCs/>
              </w:rPr>
              <w:t>August</w:t>
            </w:r>
          </w:p>
        </w:tc>
      </w:tr>
      <w:tr w:rsidR="00395CB9" w:rsidRPr="00BA5AE4" w14:paraId="704E0096" w14:textId="77777777" w:rsidTr="00BA5AE4">
        <w:trPr>
          <w:cantSplit/>
        </w:trPr>
        <w:tc>
          <w:tcPr>
            <w:tcW w:w="1331" w:type="pct"/>
            <w:tcBorders>
              <w:top w:val="nil"/>
              <w:bottom w:val="nil"/>
            </w:tcBorders>
            <w:shd w:val="clear" w:color="auto" w:fill="auto"/>
            <w:noWrap/>
          </w:tcPr>
          <w:p w14:paraId="4FF2438C" w14:textId="77777777" w:rsidR="00395CB9" w:rsidRPr="00BA5AE4" w:rsidRDefault="00395CB9" w:rsidP="00BA5AE4">
            <w:pPr>
              <w:pStyle w:val="TableText"/>
            </w:pPr>
          </w:p>
        </w:tc>
        <w:tc>
          <w:tcPr>
            <w:tcW w:w="1216" w:type="pct"/>
            <w:tcBorders>
              <w:top w:val="nil"/>
              <w:bottom w:val="nil"/>
            </w:tcBorders>
            <w:shd w:val="clear" w:color="auto" w:fill="auto"/>
            <w:noWrap/>
          </w:tcPr>
          <w:p w14:paraId="1C1626FB" w14:textId="77777777" w:rsidR="00395CB9" w:rsidRPr="00BA5AE4" w:rsidRDefault="00395CB9" w:rsidP="00BA5AE4">
            <w:pPr>
              <w:pStyle w:val="TableText"/>
            </w:pPr>
          </w:p>
        </w:tc>
        <w:tc>
          <w:tcPr>
            <w:tcW w:w="1259" w:type="pct"/>
            <w:tcBorders>
              <w:top w:val="nil"/>
              <w:bottom w:val="nil"/>
            </w:tcBorders>
            <w:shd w:val="clear" w:color="auto" w:fill="auto"/>
            <w:noWrap/>
          </w:tcPr>
          <w:p w14:paraId="18E22BD9" w14:textId="77777777" w:rsidR="00395CB9" w:rsidRPr="00BA5AE4" w:rsidRDefault="00395CB9" w:rsidP="00BA5AE4">
            <w:pPr>
              <w:pStyle w:val="TableText"/>
            </w:pPr>
            <w:r w:rsidRPr="00BA5AE4">
              <w:rPr>
                <w:b/>
                <w:bCs/>
              </w:rPr>
              <w:t>2:</w:t>
            </w:r>
            <w:r w:rsidRPr="00BA5AE4">
              <w:t xml:space="preserve"> Vaccine mandates end for border and correction workers</w:t>
            </w:r>
          </w:p>
          <w:p w14:paraId="37B8F44E" w14:textId="77777777" w:rsidR="00395CB9" w:rsidRPr="00BA5AE4" w:rsidRDefault="00395CB9" w:rsidP="00BA5AE4">
            <w:pPr>
              <w:pStyle w:val="TableText"/>
            </w:pPr>
            <w:r w:rsidRPr="00BA5AE4">
              <w:rPr>
                <w:b/>
                <w:bCs/>
              </w:rPr>
              <w:t>7:</w:t>
            </w:r>
            <w:r w:rsidRPr="00BA5AE4">
              <w:t xml:space="preserve"> Vaccine mandates end for some workers in Defence Force, Fire and Emergency, and Police</w:t>
            </w:r>
          </w:p>
        </w:tc>
        <w:tc>
          <w:tcPr>
            <w:tcW w:w="1195" w:type="pct"/>
            <w:tcBorders>
              <w:top w:val="nil"/>
              <w:bottom w:val="nil"/>
            </w:tcBorders>
            <w:shd w:val="clear" w:color="auto" w:fill="auto"/>
            <w:noWrap/>
          </w:tcPr>
          <w:p w14:paraId="4D813152" w14:textId="77777777" w:rsidR="00395CB9" w:rsidRPr="00BA5AE4" w:rsidRDefault="00395CB9" w:rsidP="00BA5AE4">
            <w:pPr>
              <w:pStyle w:val="TableText"/>
            </w:pPr>
          </w:p>
        </w:tc>
      </w:tr>
      <w:tr w:rsidR="00395CB9" w:rsidRPr="00BA5AE4" w14:paraId="2F533B18" w14:textId="77777777" w:rsidTr="00BA5AE4">
        <w:trPr>
          <w:cantSplit/>
        </w:trPr>
        <w:tc>
          <w:tcPr>
            <w:tcW w:w="1331" w:type="pct"/>
            <w:tcBorders>
              <w:top w:val="nil"/>
              <w:bottom w:val="nil"/>
            </w:tcBorders>
            <w:shd w:val="clear" w:color="auto" w:fill="D9D9D9" w:themeFill="background1" w:themeFillShade="D9"/>
            <w:noWrap/>
          </w:tcPr>
          <w:p w14:paraId="7B79669C" w14:textId="77777777" w:rsidR="00395CB9" w:rsidRPr="00BA5AE4" w:rsidRDefault="00395CB9" w:rsidP="00BA5AE4">
            <w:pPr>
              <w:pStyle w:val="TableText"/>
              <w:rPr>
                <w:b/>
                <w:bCs/>
              </w:rPr>
            </w:pPr>
            <w:r w:rsidRPr="00BA5AE4">
              <w:rPr>
                <w:b/>
                <w:bCs/>
              </w:rPr>
              <w:t>September</w:t>
            </w:r>
          </w:p>
        </w:tc>
        <w:tc>
          <w:tcPr>
            <w:tcW w:w="1216" w:type="pct"/>
            <w:tcBorders>
              <w:top w:val="nil"/>
              <w:bottom w:val="nil"/>
            </w:tcBorders>
            <w:shd w:val="clear" w:color="auto" w:fill="D9D9D9" w:themeFill="background1" w:themeFillShade="D9"/>
            <w:noWrap/>
          </w:tcPr>
          <w:p w14:paraId="7B627311" w14:textId="77777777" w:rsidR="00395CB9" w:rsidRPr="00BA5AE4" w:rsidRDefault="00395CB9" w:rsidP="00BA5AE4">
            <w:pPr>
              <w:pStyle w:val="TableText"/>
              <w:rPr>
                <w:b/>
                <w:bCs/>
              </w:rPr>
            </w:pPr>
            <w:r w:rsidRPr="00BA5AE4">
              <w:rPr>
                <w:b/>
                <w:bCs/>
              </w:rPr>
              <w:t>October</w:t>
            </w:r>
          </w:p>
        </w:tc>
        <w:tc>
          <w:tcPr>
            <w:tcW w:w="1259" w:type="pct"/>
            <w:tcBorders>
              <w:top w:val="nil"/>
              <w:bottom w:val="nil"/>
            </w:tcBorders>
            <w:shd w:val="clear" w:color="auto" w:fill="D9D9D9" w:themeFill="background1" w:themeFillShade="D9"/>
            <w:noWrap/>
          </w:tcPr>
          <w:p w14:paraId="0AE551E2" w14:textId="77777777" w:rsidR="00395CB9" w:rsidRPr="00BA5AE4" w:rsidRDefault="00395CB9" w:rsidP="00BA5AE4">
            <w:pPr>
              <w:pStyle w:val="TableText"/>
              <w:rPr>
                <w:b/>
                <w:bCs/>
              </w:rPr>
            </w:pPr>
            <w:r w:rsidRPr="00BA5AE4">
              <w:rPr>
                <w:b/>
                <w:bCs/>
              </w:rPr>
              <w:t>November</w:t>
            </w:r>
          </w:p>
        </w:tc>
        <w:tc>
          <w:tcPr>
            <w:tcW w:w="1195" w:type="pct"/>
            <w:tcBorders>
              <w:top w:val="nil"/>
              <w:bottom w:val="nil"/>
            </w:tcBorders>
            <w:shd w:val="clear" w:color="auto" w:fill="D9D9D9" w:themeFill="background1" w:themeFillShade="D9"/>
            <w:noWrap/>
          </w:tcPr>
          <w:p w14:paraId="1A830493" w14:textId="77777777" w:rsidR="00395CB9" w:rsidRPr="00BA5AE4" w:rsidRDefault="00395CB9" w:rsidP="00BA5AE4">
            <w:pPr>
              <w:pStyle w:val="TableText"/>
              <w:rPr>
                <w:b/>
                <w:bCs/>
              </w:rPr>
            </w:pPr>
            <w:r w:rsidRPr="00BA5AE4">
              <w:rPr>
                <w:b/>
                <w:bCs/>
              </w:rPr>
              <w:t>December</w:t>
            </w:r>
          </w:p>
        </w:tc>
      </w:tr>
      <w:tr w:rsidR="00395CB9" w:rsidRPr="00BA5AE4" w14:paraId="546B2F49" w14:textId="77777777" w:rsidTr="00BA5AE4">
        <w:trPr>
          <w:cantSplit/>
        </w:trPr>
        <w:tc>
          <w:tcPr>
            <w:tcW w:w="1331" w:type="pct"/>
            <w:tcBorders>
              <w:top w:val="nil"/>
            </w:tcBorders>
            <w:shd w:val="clear" w:color="auto" w:fill="auto"/>
            <w:noWrap/>
          </w:tcPr>
          <w:p w14:paraId="270ECA55" w14:textId="77777777" w:rsidR="00395CB9" w:rsidRPr="00BA5AE4" w:rsidRDefault="00395CB9" w:rsidP="00BA5AE4">
            <w:pPr>
              <w:pStyle w:val="TableText"/>
            </w:pPr>
            <w:r w:rsidRPr="00BA5AE4">
              <w:rPr>
                <w:b/>
                <w:bCs/>
              </w:rPr>
              <w:t>12:</w:t>
            </w:r>
            <w:r w:rsidRPr="00BA5AE4">
              <w:t xml:space="preserve"> The COVID-19 Protection Framework (traffic light system) ends </w:t>
            </w:r>
          </w:p>
          <w:p w14:paraId="7D74E4B5" w14:textId="77777777" w:rsidR="00395CB9" w:rsidRPr="00BA5AE4" w:rsidRDefault="00395CB9" w:rsidP="00BA5AE4">
            <w:pPr>
              <w:pStyle w:val="TableText"/>
            </w:pPr>
            <w:r w:rsidRPr="00BA5AE4">
              <w:rPr>
                <w:b/>
                <w:bCs/>
              </w:rPr>
              <w:t>26:</w:t>
            </w:r>
            <w:r w:rsidRPr="00BA5AE4">
              <w:t xml:space="preserve"> The last government vaccine mandates, for health and disability workers, end  </w:t>
            </w:r>
          </w:p>
        </w:tc>
        <w:tc>
          <w:tcPr>
            <w:tcW w:w="1216" w:type="pct"/>
            <w:tcBorders>
              <w:top w:val="nil"/>
            </w:tcBorders>
            <w:shd w:val="clear" w:color="auto" w:fill="auto"/>
            <w:noWrap/>
          </w:tcPr>
          <w:p w14:paraId="0876FF0D" w14:textId="77777777" w:rsidR="00395CB9" w:rsidRPr="00BA5AE4" w:rsidRDefault="00395CB9" w:rsidP="00BA5AE4">
            <w:pPr>
              <w:pStyle w:val="TableText"/>
            </w:pPr>
          </w:p>
        </w:tc>
        <w:tc>
          <w:tcPr>
            <w:tcW w:w="1259" w:type="pct"/>
            <w:tcBorders>
              <w:top w:val="nil"/>
            </w:tcBorders>
            <w:shd w:val="clear" w:color="auto" w:fill="auto"/>
            <w:noWrap/>
          </w:tcPr>
          <w:p w14:paraId="58233C9C" w14:textId="77777777" w:rsidR="00395CB9" w:rsidRPr="00BA5AE4" w:rsidRDefault="00395CB9" w:rsidP="00BA5AE4">
            <w:pPr>
              <w:pStyle w:val="TableText"/>
            </w:pPr>
          </w:p>
        </w:tc>
        <w:tc>
          <w:tcPr>
            <w:tcW w:w="1195" w:type="pct"/>
            <w:tcBorders>
              <w:top w:val="nil"/>
            </w:tcBorders>
            <w:shd w:val="clear" w:color="auto" w:fill="auto"/>
            <w:noWrap/>
          </w:tcPr>
          <w:p w14:paraId="5AD910ED" w14:textId="77777777" w:rsidR="00395CB9" w:rsidRPr="00BA5AE4" w:rsidRDefault="00395CB9" w:rsidP="00BA5AE4">
            <w:pPr>
              <w:pStyle w:val="TableText"/>
            </w:pPr>
          </w:p>
        </w:tc>
      </w:tr>
    </w:tbl>
    <w:p w14:paraId="2F01DF88" w14:textId="77777777" w:rsidR="00395CB9" w:rsidRPr="0007414B" w:rsidRDefault="00395CB9" w:rsidP="00FE2BAD">
      <w:pPr>
        <w:pStyle w:val="Note"/>
      </w:pPr>
      <w:r w:rsidRPr="0007414B">
        <w:t>* Phases</w:t>
      </w:r>
    </w:p>
    <w:p w14:paraId="75E94057" w14:textId="77777777" w:rsidR="00395CB9" w:rsidRPr="00FE2BAD" w:rsidRDefault="00395CB9" w:rsidP="00041EF7">
      <w:pPr>
        <w:numPr>
          <w:ilvl w:val="0"/>
          <w:numId w:val="15"/>
        </w:numPr>
        <w:shd w:val="clear" w:color="auto" w:fill="FFFFFF" w:themeFill="background1"/>
        <w:tabs>
          <w:tab w:val="clear" w:pos="720"/>
        </w:tabs>
        <w:ind w:left="426"/>
        <w:rPr>
          <w:rFonts w:cs="Segoe UI"/>
          <w:sz w:val="17"/>
          <w:szCs w:val="17"/>
        </w:rPr>
      </w:pPr>
      <w:r w:rsidRPr="00FE2BAD">
        <w:rPr>
          <w:rFonts w:cs="Segoe UI"/>
          <w:sz w:val="17"/>
          <w:szCs w:val="17"/>
        </w:rPr>
        <w:t>Phase 1: Focus is on stamping out small outbreaks, with polymerase chain reaction (PCR) testing and 14-day isolation period for COVID-19 cases.</w:t>
      </w:r>
    </w:p>
    <w:p w14:paraId="105644F1" w14:textId="77777777" w:rsidR="00395CB9" w:rsidRPr="00FE2BAD" w:rsidRDefault="00395CB9" w:rsidP="00041EF7">
      <w:pPr>
        <w:numPr>
          <w:ilvl w:val="0"/>
          <w:numId w:val="15"/>
        </w:numPr>
        <w:shd w:val="clear" w:color="auto" w:fill="FFFFFF" w:themeFill="background1"/>
        <w:tabs>
          <w:tab w:val="clear" w:pos="720"/>
        </w:tabs>
        <w:ind w:left="426"/>
        <w:rPr>
          <w:rFonts w:cs="Segoe UI"/>
          <w:sz w:val="17"/>
          <w:szCs w:val="17"/>
        </w:rPr>
      </w:pPr>
      <w:r w:rsidRPr="00FE2BAD">
        <w:rPr>
          <w:rFonts w:cs="Segoe UI"/>
          <w:sz w:val="17"/>
          <w:szCs w:val="17"/>
        </w:rPr>
        <w:t>Phase 2: Focus is on slowing the spread and protecting those most at risk of getting seriously ill. Contact tracing switches to online self-assessments. Isolation period shortens to 10 days.</w:t>
      </w:r>
    </w:p>
    <w:p w14:paraId="589F846D" w14:textId="77777777" w:rsidR="00395CB9" w:rsidRPr="00FE2BAD" w:rsidRDefault="00395CB9" w:rsidP="00041EF7">
      <w:pPr>
        <w:numPr>
          <w:ilvl w:val="0"/>
          <w:numId w:val="15"/>
        </w:numPr>
        <w:shd w:val="clear" w:color="auto" w:fill="FFFFFF" w:themeFill="background1"/>
        <w:tabs>
          <w:tab w:val="clear" w:pos="720"/>
        </w:tabs>
        <w:ind w:left="426"/>
        <w:rPr>
          <w:rFonts w:cs="Segoe UI"/>
          <w:sz w:val="17"/>
          <w:szCs w:val="17"/>
        </w:rPr>
      </w:pPr>
      <w:r w:rsidRPr="00FE2BAD">
        <w:rPr>
          <w:rFonts w:cs="Segoe UI"/>
          <w:sz w:val="17"/>
          <w:szCs w:val="17"/>
        </w:rPr>
        <w:t>Phase 3: Focus on safely managing COVID-19 at home, with self-testing kits of rapid antigen tests (RATs). Isolation is only for people who test positive and their household contacts.</w:t>
      </w:r>
    </w:p>
    <w:p w14:paraId="7AA8303F" w14:textId="77777777" w:rsidR="00395CB9" w:rsidRPr="00FE2BAD" w:rsidRDefault="00395CB9" w:rsidP="00FE2BAD">
      <w:pPr>
        <w:pStyle w:val="Source"/>
      </w:pPr>
      <w:r w:rsidRPr="00FE2BAD">
        <w:t xml:space="preserve">Source: </w:t>
      </w:r>
      <w:hyperlink r:id="rId114">
        <w:r w:rsidRPr="00FE2BAD">
          <w:rPr>
            <w:rStyle w:val="Hyperlink"/>
          </w:rPr>
          <w:t>Unite against COVID-19 (2022b)</w:t>
        </w:r>
      </w:hyperlink>
    </w:p>
    <w:p w14:paraId="214FDB3F" w14:textId="77777777" w:rsidR="00395CB9" w:rsidRPr="0007414B" w:rsidRDefault="00395CB9" w:rsidP="00395CB9">
      <w:pPr>
        <w:shd w:val="clear" w:color="auto" w:fill="FFFFFF"/>
        <w:rPr>
          <w:rFonts w:cs="Segoe UI"/>
          <w:sz w:val="18"/>
          <w:szCs w:val="18"/>
        </w:rPr>
      </w:pPr>
    </w:p>
    <w:p w14:paraId="0F9ACB31" w14:textId="77777777" w:rsidR="00395CB9" w:rsidRPr="0007414B" w:rsidRDefault="00395CB9" w:rsidP="00FE2BAD">
      <w:pPr>
        <w:pStyle w:val="Heading3"/>
      </w:pPr>
      <w:r w:rsidRPr="0007414B">
        <w:lastRenderedPageBreak/>
        <w:t>Management strategy</w:t>
      </w:r>
    </w:p>
    <w:p w14:paraId="4071DF55" w14:textId="77777777" w:rsidR="00395CB9" w:rsidRPr="0007414B" w:rsidRDefault="00395CB9" w:rsidP="00FE2BAD">
      <w:r w:rsidRPr="0007414B">
        <w:t xml:space="preserve">The COVID-19 management strategy changed in 2022. With falling cases, high vaccination rates and increased access to antiviral medicines to treat COVID-19, many COVID-19 rules and restrictions ended on 13 September 2022 </w:t>
      </w:r>
      <w:r w:rsidRPr="0007414B">
        <w:fldChar w:fldCharType="begin"/>
      </w:r>
      <w:r w:rsidRPr="0007414B">
        <w:instrText xml:space="preserve"> ADDIN EN.CITE &lt;EndNote&gt;&lt;Cite&gt;&lt;Author&gt;Unite against COVID-19&lt;/Author&gt;&lt;Year&gt;2022&lt;/Year&gt;&lt;RecNum&gt;326&lt;/RecNum&gt;&lt;DisplayText&gt;(Unite against COVID-19 2022a)&lt;/DisplayText&gt;&lt;record&gt;&lt;rec-number&gt;326&lt;/rec-number&gt;&lt;foreign-keys&gt;&lt;key app="EN" db-id="aaepvppzs5wtfse95vsp2wahsrtvva2vvdet" timestamp="1683260893"&gt;326&lt;/key&gt;&lt;/foreign-keys&gt;&lt;ref-type name="Web Page"&gt;12&lt;/ref-type&gt;&lt;contributors&gt;&lt;authors&gt;&lt;author&gt;Unite against COVID-19,&lt;/author&gt;&lt;/authors&gt;&lt;/contributors&gt;&lt;titles&gt;&lt;title&gt;The current phase of our COVID-19 response&lt;/title&gt;&lt;/titles&gt;&lt;number&gt;5 May 2023&lt;/number&gt;&lt;dates&gt;&lt;year&gt;2022&lt;/year&gt;&lt;/dates&gt;&lt;urls&gt;&lt;related-urls&gt;&lt;url&gt;https://covid19.govt.nz/current-phase-of-our-covid-19-response/&lt;/url&gt;&lt;/related-urls&gt;&lt;/urls&gt;&lt;/record&gt;&lt;/Cite&gt;&lt;/EndNote&gt;</w:instrText>
      </w:r>
      <w:r w:rsidRPr="0007414B">
        <w:fldChar w:fldCharType="separate"/>
      </w:r>
      <w:r w:rsidRPr="0007414B">
        <w:t>(Unite against COVID-19 2022a)</w:t>
      </w:r>
      <w:r w:rsidRPr="0007414B">
        <w:fldChar w:fldCharType="end"/>
      </w:r>
      <w:r w:rsidRPr="0007414B">
        <w:t>.</w:t>
      </w:r>
    </w:p>
    <w:p w14:paraId="6B91931F" w14:textId="77777777" w:rsidR="00395CB9" w:rsidRPr="0007414B" w:rsidRDefault="00395CB9" w:rsidP="00FE2BAD"/>
    <w:p w14:paraId="4AC604E5" w14:textId="77777777" w:rsidR="00395CB9" w:rsidRPr="0007414B" w:rsidRDefault="00395CB9" w:rsidP="00FE2BAD">
      <w:pPr>
        <w:rPr>
          <w:rFonts w:cs="Segoe UI"/>
          <w:szCs w:val="21"/>
        </w:rPr>
      </w:pPr>
      <w:r w:rsidRPr="0007414B">
        <w:rPr>
          <w:rFonts w:cs="Segoe UI"/>
          <w:szCs w:val="21"/>
        </w:rPr>
        <w:t>The following tools remained in place:</w:t>
      </w:r>
    </w:p>
    <w:p w14:paraId="29B6B01E" w14:textId="77777777" w:rsidR="00395CB9" w:rsidRPr="0007414B" w:rsidRDefault="00395CB9" w:rsidP="00FE2BAD">
      <w:pPr>
        <w:pStyle w:val="Bullet"/>
      </w:pPr>
      <w:r w:rsidRPr="0007414B">
        <w:t>isolating for 7 days for anyone testing positive for COVID-19</w:t>
      </w:r>
    </w:p>
    <w:p w14:paraId="608F2A17" w14:textId="77777777" w:rsidR="00395CB9" w:rsidRPr="0007414B" w:rsidRDefault="00395CB9" w:rsidP="00FE2BAD">
      <w:pPr>
        <w:pStyle w:val="Bullet"/>
      </w:pPr>
      <w:r w:rsidRPr="0007414B">
        <w:t>face masks required in certain health care facilities</w:t>
      </w:r>
    </w:p>
    <w:p w14:paraId="6F4EA139" w14:textId="77777777" w:rsidR="00395CB9" w:rsidRPr="0007414B" w:rsidRDefault="00395CB9" w:rsidP="00FE2BAD">
      <w:pPr>
        <w:pStyle w:val="Bullet"/>
      </w:pPr>
      <w:r w:rsidRPr="0007414B">
        <w:t>COVID-19 remained a notifiable disease</w:t>
      </w:r>
    </w:p>
    <w:p w14:paraId="368C04FD" w14:textId="77777777" w:rsidR="00395CB9" w:rsidRPr="0007414B" w:rsidRDefault="00395CB9" w:rsidP="00FE2BAD">
      <w:pPr>
        <w:pStyle w:val="Bullet"/>
      </w:pPr>
      <w:r w:rsidRPr="0007414B">
        <w:t xml:space="preserve">hospital and wastewater surveillance </w:t>
      </w:r>
    </w:p>
    <w:p w14:paraId="34A82C5C" w14:textId="77777777" w:rsidR="00395CB9" w:rsidRPr="0007414B" w:rsidRDefault="00395CB9" w:rsidP="00FE2BAD">
      <w:pPr>
        <w:pStyle w:val="Bullet"/>
      </w:pPr>
      <w:r w:rsidRPr="0007414B">
        <w:t>whole genome sequencing (domestic)</w:t>
      </w:r>
    </w:p>
    <w:p w14:paraId="32BAA615" w14:textId="77777777" w:rsidR="00395CB9" w:rsidRPr="0007414B" w:rsidRDefault="00395CB9" w:rsidP="00FE2BAD">
      <w:pPr>
        <w:pStyle w:val="Bullet"/>
      </w:pPr>
      <w:r w:rsidRPr="0007414B">
        <w:t>ongoing monitoring for new variants arriving from overseas</w:t>
      </w:r>
    </w:p>
    <w:p w14:paraId="3D82333E" w14:textId="77777777" w:rsidR="00395CB9" w:rsidRPr="0007414B" w:rsidRDefault="00395CB9" w:rsidP="00FE2BAD">
      <w:pPr>
        <w:pStyle w:val="Bullet"/>
      </w:pPr>
      <w:r w:rsidRPr="0007414B">
        <w:t>infection and policy modelling.</w:t>
      </w:r>
    </w:p>
    <w:p w14:paraId="3498325D" w14:textId="77777777" w:rsidR="00395CB9" w:rsidRPr="0007414B" w:rsidRDefault="00395CB9" w:rsidP="00395CB9">
      <w:pPr>
        <w:pStyle w:val="Heading2"/>
        <w:rPr>
          <w:rFonts w:cs="Segoe UI"/>
        </w:rPr>
      </w:pPr>
      <w:bookmarkStart w:id="198" w:name="_Toc138326937"/>
      <w:bookmarkStart w:id="199" w:name="_Toc139030823"/>
      <w:r w:rsidRPr="0007414B">
        <w:rPr>
          <w:rFonts w:cs="Segoe UI"/>
        </w:rPr>
        <w:t>COVID-19 cases</w:t>
      </w:r>
      <w:bookmarkEnd w:id="198"/>
      <w:bookmarkEnd w:id="199"/>
    </w:p>
    <w:p w14:paraId="4DD0D7FA" w14:textId="77777777" w:rsidR="00395CB9" w:rsidRPr="0007414B" w:rsidRDefault="00395CB9" w:rsidP="00395CB9">
      <w:pPr>
        <w:rPr>
          <w:rFonts w:cs="Segoe UI"/>
        </w:rPr>
      </w:pPr>
      <w:r w:rsidRPr="0007414B" w:rsidDel="0042375F">
        <w:rPr>
          <w:rFonts w:cs="Segoe UI"/>
        </w:rPr>
        <w:t>I</w:t>
      </w:r>
      <w:r w:rsidRPr="0007414B">
        <w:rPr>
          <w:rFonts w:cs="Segoe UI"/>
        </w:rPr>
        <w:t>n the 2022 calendar year, Aotearoa New Zealand recorded 2,101,527 cases of COVID-19</w:t>
      </w:r>
      <w:r w:rsidRPr="0007414B">
        <w:rPr>
          <w:rStyle w:val="FootnoteReference"/>
          <w:rFonts w:cs="Segoe UI"/>
        </w:rPr>
        <w:footnoteReference w:id="19"/>
      </w:r>
      <w:r w:rsidRPr="0007414B">
        <w:rPr>
          <w:rFonts w:cs="Segoe UI"/>
        </w:rPr>
        <w:t xml:space="preserve"> </w:t>
      </w:r>
      <w:r w:rsidRPr="0007414B">
        <w:rPr>
          <w:rFonts w:cs="Segoe UI"/>
        </w:rPr>
        <w:fldChar w:fldCharType="begin"/>
      </w:r>
      <w:r w:rsidRPr="0007414B">
        <w:rPr>
          <w:rFonts w:cs="Segoe UI"/>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rPr>
          <w:rFonts w:cs="Segoe UI"/>
        </w:rPr>
        <w:fldChar w:fldCharType="separate"/>
      </w:r>
      <w:r w:rsidRPr="0007414B">
        <w:rPr>
          <w:rFonts w:cs="Segoe UI"/>
        </w:rPr>
        <w:t>(Te Whatu Ora 2023e)</w:t>
      </w:r>
      <w:r w:rsidRPr="0007414B">
        <w:rPr>
          <w:rFonts w:cs="Segoe UI"/>
        </w:rPr>
        <w:fldChar w:fldCharType="end"/>
      </w:r>
      <w:r w:rsidRPr="0007414B">
        <w:rPr>
          <w:rFonts w:cs="Segoe UI"/>
        </w:rPr>
        <w:t xml:space="preserve">. The first case of the Omicron variant was recorded on 18 January 2022 </w:t>
      </w:r>
      <w:r w:rsidRPr="0007414B">
        <w:rPr>
          <w:rFonts w:cs="Segoe UI"/>
        </w:rPr>
        <w:fldChar w:fldCharType="begin"/>
      </w:r>
      <w:r>
        <w:rPr>
          <w:rFonts w:cs="Segoe UI"/>
        </w:rPr>
        <w:instrText xml:space="preserve"> ADDIN EN.CITE &lt;EndNote&gt;&lt;Cite&gt;&lt;Author&gt;Public Policy Institute&lt;/Author&gt;&lt;Year&gt;2023&lt;/Year&gt;&lt;RecNum&gt;392&lt;/RecNum&gt;&lt;DisplayText&gt;(Public Policy Institute 2023)&lt;/DisplayText&gt;&lt;record&gt;&lt;rec-number&gt;392&lt;/rec-number&gt;&lt;foreign-keys&gt;&lt;key app="EN" db-id="aaepvppzs5wtfse95vsp2wahsrtvva2vvdet" timestamp="1684709097"&gt;392&lt;/key&gt;&lt;/foreign-keys&gt;&lt;ref-type name="Web Page"&gt;12&lt;/ref-type&gt;&lt;contributors&gt;&lt;authors&gt;&lt;author&gt;Public Policy Institute,&lt;/author&gt;&lt;/authors&gt;&lt;/contributors&gt;&lt;titles&gt;&lt;title&gt;COVID-19 timeline 2022&lt;/title&gt;&lt;/titles&gt;&lt;number&gt;18 May 2023&lt;/number&gt;&lt;dates&gt;&lt;year&gt;2023&lt;/year&gt;&lt;/dates&gt;&lt;urls&gt;&lt;related-urls&gt;&lt;url&gt;www.policycommons.ac.nz/covid-19-policy-resources/covid-19-timeline/covid-19-timeline-2022/&lt;/url&gt;&lt;/related-urls&gt;&lt;/urls&gt;&lt;/record&gt;&lt;/Cite&gt;&lt;/EndNote&gt;</w:instrText>
      </w:r>
      <w:r w:rsidRPr="0007414B">
        <w:rPr>
          <w:rFonts w:cs="Segoe UI"/>
        </w:rPr>
        <w:fldChar w:fldCharType="separate"/>
      </w:r>
      <w:r w:rsidRPr="0007414B">
        <w:rPr>
          <w:rFonts w:cs="Segoe UI"/>
          <w:noProof/>
        </w:rPr>
        <w:t>(Public Policy Institute 2023)</w:t>
      </w:r>
      <w:r w:rsidRPr="0007414B">
        <w:rPr>
          <w:rFonts w:cs="Segoe UI"/>
        </w:rPr>
        <w:fldChar w:fldCharType="end"/>
      </w:r>
      <w:r w:rsidRPr="0007414B">
        <w:rPr>
          <w:rFonts w:cs="Segoe UI"/>
        </w:rPr>
        <w:t xml:space="preserve">. Daily case numbers peaked in late February and March 2022 </w:t>
      </w:r>
      <w:r w:rsidRPr="0007414B">
        <w:rPr>
          <w:rFonts w:cs="Segoe UI"/>
        </w:rPr>
        <w:fldChar w:fldCharType="begin"/>
      </w:r>
      <w:r w:rsidRPr="0007414B">
        <w:rPr>
          <w:rFonts w:cs="Segoe UI"/>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rPr>
          <w:rFonts w:cs="Segoe UI"/>
        </w:rPr>
        <w:fldChar w:fldCharType="separate"/>
      </w:r>
      <w:r w:rsidRPr="0007414B">
        <w:rPr>
          <w:rFonts w:cs="Segoe UI"/>
        </w:rPr>
        <w:t>(Te Whatu Ora 2023e)</w:t>
      </w:r>
      <w:r w:rsidRPr="0007414B">
        <w:rPr>
          <w:rFonts w:cs="Segoe UI"/>
        </w:rPr>
        <w:fldChar w:fldCharType="end"/>
      </w:r>
      <w:r w:rsidRPr="0007414B">
        <w:rPr>
          <w:rFonts w:cs="Segoe UI"/>
        </w:rPr>
        <w:t xml:space="preserve">. </w:t>
      </w:r>
    </w:p>
    <w:p w14:paraId="5FFA6284" w14:textId="77777777" w:rsidR="00395CB9" w:rsidRPr="0007414B" w:rsidRDefault="00395CB9" w:rsidP="00395CB9">
      <w:pPr>
        <w:rPr>
          <w:rFonts w:cs="Segoe UI"/>
          <w:szCs w:val="21"/>
        </w:rPr>
      </w:pPr>
    </w:p>
    <w:p w14:paraId="23A253D9" w14:textId="2B992F92" w:rsidR="00395CB9" w:rsidRPr="0007414B" w:rsidRDefault="00395CB9" w:rsidP="00395CB9">
      <w:pPr>
        <w:rPr>
          <w:rFonts w:cs="Segoe UI"/>
        </w:rPr>
      </w:pPr>
      <w:r w:rsidRPr="0007414B">
        <w:rPr>
          <w:rFonts w:cs="Segoe UI"/>
        </w:rPr>
        <w:fldChar w:fldCharType="begin"/>
      </w:r>
      <w:r w:rsidRPr="0007414B">
        <w:rPr>
          <w:rFonts w:cs="Segoe UI"/>
        </w:rPr>
        <w:instrText xml:space="preserve"> REF _Ref130982310 \h  \* MERGEFORMAT </w:instrText>
      </w:r>
      <w:r w:rsidRPr="0007414B">
        <w:rPr>
          <w:rFonts w:cs="Segoe UI"/>
        </w:rPr>
      </w:r>
      <w:r w:rsidRPr="0007414B">
        <w:rPr>
          <w:rFonts w:cs="Segoe UI"/>
        </w:rPr>
        <w:fldChar w:fldCharType="separate"/>
      </w:r>
      <w:r w:rsidR="00BE208D" w:rsidRPr="00BE208D">
        <w:rPr>
          <w:rFonts w:cs="Segoe UI"/>
        </w:rPr>
        <w:t>Figure 40</w:t>
      </w:r>
      <w:r w:rsidRPr="0007414B">
        <w:rPr>
          <w:rFonts w:cs="Segoe UI"/>
        </w:rPr>
        <w:fldChar w:fldCharType="end"/>
      </w:r>
      <w:r w:rsidRPr="0007414B">
        <w:rPr>
          <w:rFonts w:cs="Segoe UI"/>
        </w:rPr>
        <w:t xml:space="preserve"> shows the daily case numbers, along with the 7-day rolling average, for the year ending 31 December 2022. </w:t>
      </w:r>
    </w:p>
    <w:p w14:paraId="257762E8" w14:textId="77777777" w:rsidR="00395CB9" w:rsidRPr="0007414B" w:rsidRDefault="00395CB9" w:rsidP="00395CB9">
      <w:pPr>
        <w:rPr>
          <w:rFonts w:cs="Segoe UI"/>
          <w:sz w:val="20"/>
        </w:rPr>
      </w:pPr>
    </w:p>
    <w:p w14:paraId="701A2529" w14:textId="6CC433BF" w:rsidR="00395CB9" w:rsidRPr="0007414B" w:rsidRDefault="00395CB9" w:rsidP="00FE2BAD">
      <w:pPr>
        <w:pStyle w:val="Figure"/>
      </w:pPr>
      <w:bookmarkStart w:id="200" w:name="_Ref130982310"/>
      <w:bookmarkStart w:id="201" w:name="_Toc138326982"/>
      <w:bookmarkStart w:id="202" w:name="_Toc138409963"/>
      <w:r>
        <w:t xml:space="preserve">Figure </w:t>
      </w:r>
      <w:fldSimple w:instr=" SEQ Figure \* ARABIC ">
        <w:r w:rsidR="00BE208D">
          <w:rPr>
            <w:noProof/>
          </w:rPr>
          <w:t>40</w:t>
        </w:r>
      </w:fldSimple>
      <w:bookmarkEnd w:id="200"/>
      <w:r>
        <w:t>: Number of COVID-19 cases, daily and 7-day rolling average, January to December 2022</w:t>
      </w:r>
      <w:bookmarkEnd w:id="201"/>
      <w:bookmarkEnd w:id="202"/>
      <w:r>
        <w:t xml:space="preserve"> </w:t>
      </w:r>
    </w:p>
    <w:p w14:paraId="36108FA7" w14:textId="77777777" w:rsidR="00395CB9" w:rsidRPr="0007414B" w:rsidRDefault="00395CB9" w:rsidP="00395CB9">
      <w:pPr>
        <w:rPr>
          <w:rFonts w:cs="Segoe UI"/>
        </w:rPr>
      </w:pPr>
      <w:r w:rsidRPr="0007414B">
        <w:rPr>
          <w:noProof/>
        </w:rPr>
        <w:drawing>
          <wp:inline distT="0" distB="0" distL="0" distR="0" wp14:anchorId="2545A8B9" wp14:editId="1F8BE327">
            <wp:extent cx="5118538" cy="2559270"/>
            <wp:effectExtent l="0" t="0" r="6350" b="0"/>
            <wp:docPr id="1695314854" name="Picture 1695314854" descr="A timeseries bar and line chart showing the number of COVID-19 cases from January through December 2022. The bars show the number of daily cases, and a line shows the 7-day rolling case average. There are three peaks in daily case numbers: the first occurring in about March, a second in July and third in December. The first of these peaks is the largest with the 7-day average reaching about 20,000 cases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4" name="Picture 1695314854" descr="A timeseries bar and line chart showing the number of COVID-19 cases from January through December 2022. The bars show the number of daily cases, and a line shows the 7-day rolling case average. There are three peaks in daily case numbers: the first occurring in about March, a second in July and third in December. The first of these peaks is the largest with the 7-day average reaching about 20,000 cases per day.&#10;"/>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129893" cy="2564947"/>
                    </a:xfrm>
                    <a:prstGeom prst="rect">
                      <a:avLst/>
                    </a:prstGeom>
                  </pic:spPr>
                </pic:pic>
              </a:graphicData>
            </a:graphic>
          </wp:inline>
        </w:drawing>
      </w:r>
    </w:p>
    <w:p w14:paraId="0F022A8B" w14:textId="0E04AA52" w:rsidR="00395CB9" w:rsidRPr="0007414B" w:rsidRDefault="00395CB9" w:rsidP="00BA5AE4">
      <w:pPr>
        <w:pStyle w:val="Source"/>
        <w:rPr>
          <w:rFonts w:eastAsiaTheme="majorEastAsia" w:cs="Segoe UI"/>
          <w:i/>
          <w:iCs/>
          <w:color w:val="365F91" w:themeColor="accent1" w:themeShade="BF"/>
        </w:rPr>
      </w:pPr>
      <w:r w:rsidRPr="00FE2BAD">
        <w:t xml:space="preserve">Source: </w:t>
      </w:r>
      <w:hyperlink r:id="rId116">
        <w:r w:rsidRPr="00FE2BAD">
          <w:rPr>
            <w:rStyle w:val="Hyperlink"/>
          </w:rPr>
          <w:t>Te Whatu Ora (2023</w:t>
        </w:r>
        <w:r w:rsidR="00F31478">
          <w:rPr>
            <w:rStyle w:val="Hyperlink"/>
          </w:rPr>
          <w:softHyphen/>
        </w:r>
        <w:r w:rsidR="00F31478">
          <w:rPr>
            <w:rStyle w:val="Hyperlink"/>
          </w:rPr>
          <w:softHyphen/>
        </w:r>
        <w:r w:rsidRPr="00FE2BAD">
          <w:rPr>
            <w:rStyle w:val="Hyperlink"/>
          </w:rPr>
          <w:t>e)</w:t>
        </w:r>
      </w:hyperlink>
    </w:p>
    <w:p w14:paraId="6126DEA6" w14:textId="77777777" w:rsidR="00395CB9" w:rsidRPr="0007414B" w:rsidRDefault="00395CB9" w:rsidP="00FE2BAD">
      <w:pPr>
        <w:pStyle w:val="Heading3"/>
      </w:pPr>
      <w:r w:rsidRPr="0007414B">
        <w:lastRenderedPageBreak/>
        <w:t>COVID-19 hospitalisations</w:t>
      </w:r>
    </w:p>
    <w:p w14:paraId="18D67FDE" w14:textId="77777777" w:rsidR="00BE208D" w:rsidRPr="0007414B" w:rsidRDefault="00395CB9" w:rsidP="00FE2BAD">
      <w:r w:rsidRPr="0007414B">
        <w:t xml:space="preserve">A total of 22,909 people were hospitalised for COVID-19 across the 2022 calendar year. Hospital admissions peaked on 15 March, when 179 admissions for that day were recorded </w:t>
      </w:r>
      <w:r w:rsidRPr="0007414B">
        <w:fldChar w:fldCharType="begin"/>
      </w:r>
      <w:r w:rsidRPr="0007414B">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fldChar w:fldCharType="separate"/>
      </w:r>
      <w:r w:rsidRPr="0007414B">
        <w:t>(Te Whatu Ora 2023e)</w:t>
      </w:r>
      <w:r w:rsidRPr="0007414B">
        <w:fldChar w:fldCharType="end"/>
      </w:r>
      <w:r w:rsidRPr="0007414B">
        <w:t xml:space="preserve">. </w:t>
      </w:r>
      <w:r w:rsidRPr="0007414B">
        <w:fldChar w:fldCharType="begin"/>
      </w:r>
      <w:r w:rsidRPr="0007414B">
        <w:instrText xml:space="preserve"> REF _Ref131576420 \h  \* MERGEFORMAT </w:instrText>
      </w:r>
      <w:r w:rsidRPr="0007414B">
        <w:fldChar w:fldCharType="separate"/>
      </w:r>
    </w:p>
    <w:p w14:paraId="77F4345F" w14:textId="77777777" w:rsidR="00BE208D" w:rsidRPr="00BE208D" w:rsidRDefault="00BE208D" w:rsidP="00395CB9"/>
    <w:p w14:paraId="3C3B2D6D" w14:textId="4415DE3A" w:rsidR="00395CB9" w:rsidRPr="0007414B" w:rsidRDefault="00BE208D" w:rsidP="00FE2BAD">
      <w:r>
        <w:t>Figure 41</w:t>
      </w:r>
      <w:r w:rsidR="00395CB9" w:rsidRPr="0007414B">
        <w:fldChar w:fldCharType="end"/>
      </w:r>
      <w:r w:rsidR="00395CB9" w:rsidRPr="0007414B">
        <w:t xml:space="preserve"> shows the number of daily and 7-day rolling average for COVID-19 hospitalisations in 2022.</w:t>
      </w:r>
      <w:bookmarkStart w:id="203" w:name="_Ref131576420"/>
    </w:p>
    <w:p w14:paraId="454A93D3" w14:textId="77777777" w:rsidR="00395CB9" w:rsidRPr="0007414B" w:rsidRDefault="00395CB9" w:rsidP="00395CB9">
      <w:pPr>
        <w:rPr>
          <w:rFonts w:cs="Segoe UI"/>
        </w:rPr>
      </w:pPr>
    </w:p>
    <w:p w14:paraId="5915EEB3" w14:textId="5A1C0631" w:rsidR="00395CB9" w:rsidRPr="0007414B" w:rsidRDefault="00395CB9" w:rsidP="00FE2BAD">
      <w:pPr>
        <w:pStyle w:val="Figure"/>
      </w:pPr>
      <w:bookmarkStart w:id="204" w:name="_Toc138326983"/>
      <w:bookmarkStart w:id="205" w:name="_Toc138409964"/>
      <w:r>
        <w:t xml:space="preserve">Figure </w:t>
      </w:r>
      <w:fldSimple w:instr=" SEQ Figure \* ARABIC ">
        <w:r w:rsidR="00BE208D">
          <w:rPr>
            <w:noProof/>
          </w:rPr>
          <w:t>41</w:t>
        </w:r>
      </w:fldSimple>
      <w:bookmarkEnd w:id="203"/>
      <w:r>
        <w:t>:</w:t>
      </w:r>
      <w:r w:rsidDel="001E6DE2">
        <w:t xml:space="preserve"> </w:t>
      </w:r>
      <w:r>
        <w:t>Number of hospital admissions for COVID-19, daily and 7-day rolling average, January to December 2022</w:t>
      </w:r>
      <w:bookmarkEnd w:id="204"/>
      <w:bookmarkEnd w:id="205"/>
    </w:p>
    <w:p w14:paraId="39733C31" w14:textId="77777777" w:rsidR="00395CB9" w:rsidRPr="0007414B" w:rsidRDefault="00395CB9" w:rsidP="00395CB9">
      <w:pPr>
        <w:rPr>
          <w:rFonts w:cs="Segoe UI"/>
        </w:rPr>
      </w:pPr>
      <w:r w:rsidRPr="0007414B">
        <w:rPr>
          <w:noProof/>
        </w:rPr>
        <w:drawing>
          <wp:inline distT="0" distB="0" distL="0" distR="0" wp14:anchorId="05A7C06F" wp14:editId="09378A8A">
            <wp:extent cx="5139558" cy="2569780"/>
            <wp:effectExtent l="0" t="0" r="4445" b="2540"/>
            <wp:docPr id="1695314855" name="Picture 1695314855" descr="A timeseries bar and line chart showing the number of COVID-19 hospitalisations from January through December 2022. The bars show the daily number of daily hospitalisations, and a line shows the 7-day rolling hospitalisation average. There are three peaks in hospitalisation, the first in March, the second in July, and the third in December. The first peak is the largest, with the 7-day rolling average reaching more than 150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5" name="Picture 1695314855" descr="A timeseries bar and line chart showing the number of COVID-19 hospitalisations from January through December 2022. The bars show the daily number of daily hospitalisations, and a line shows the 7-day rolling hospitalisation average. There are three peaks in hospitalisation, the first in March, the second in July, and the third in December. The first peak is the largest, with the 7-day rolling average reaching more than 150 per day.&#10;"/>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152919" cy="2576460"/>
                    </a:xfrm>
                    <a:prstGeom prst="rect">
                      <a:avLst/>
                    </a:prstGeom>
                  </pic:spPr>
                </pic:pic>
              </a:graphicData>
            </a:graphic>
          </wp:inline>
        </w:drawing>
      </w:r>
    </w:p>
    <w:p w14:paraId="14D9049C" w14:textId="77777777" w:rsidR="00395CB9" w:rsidRPr="007D0711" w:rsidRDefault="00395CB9" w:rsidP="007D0711">
      <w:pPr>
        <w:pStyle w:val="Source"/>
      </w:pPr>
      <w:r w:rsidRPr="007D0711">
        <w:t xml:space="preserve">Source: </w:t>
      </w:r>
      <w:hyperlink r:id="rId118">
        <w:r w:rsidRPr="007D0711">
          <w:rPr>
            <w:rStyle w:val="Hyperlink"/>
          </w:rPr>
          <w:t>Te Whatu Ora (2023e)</w:t>
        </w:r>
      </w:hyperlink>
    </w:p>
    <w:p w14:paraId="68663E78" w14:textId="77777777" w:rsidR="00395CB9" w:rsidRPr="0007414B" w:rsidRDefault="00395CB9" w:rsidP="007D0711">
      <w:pPr>
        <w:pStyle w:val="Heading3"/>
      </w:pPr>
      <w:bookmarkStart w:id="206" w:name="_Ref138752188"/>
      <w:r w:rsidRPr="0007414B">
        <w:t>COVID-19 deaths</w:t>
      </w:r>
      <w:bookmarkEnd w:id="206"/>
    </w:p>
    <w:p w14:paraId="357772A9" w14:textId="77777777" w:rsidR="00395CB9" w:rsidRPr="0007414B" w:rsidRDefault="00395CB9" w:rsidP="007D0711">
      <w:pPr>
        <w:rPr>
          <w:rFonts w:cs="Segoe UI"/>
        </w:rPr>
      </w:pPr>
      <w:r w:rsidRPr="0007414B">
        <w:rPr>
          <w:rFonts w:cs="Segoe UI"/>
        </w:rPr>
        <w:t xml:space="preserve">The Ministry of Health published </w:t>
      </w:r>
      <w:hyperlink r:id="rId119">
        <w:r w:rsidRPr="0007414B">
          <w:rPr>
            <w:rStyle w:val="Hyperlink"/>
            <w:rFonts w:cs="Segoe UI"/>
          </w:rPr>
          <w:t>COVID-19 Mortality in Aotearoa New Zealand: Inequities in risk</w:t>
        </w:r>
      </w:hyperlink>
      <w:r w:rsidRPr="0007414B">
        <w:t xml:space="preserve"> in September 2022</w:t>
      </w:r>
      <w:r w:rsidRPr="0007414B">
        <w:rPr>
          <w:rFonts w:cs="Segoe UI"/>
        </w:rPr>
        <w:t>. This showed that Māori, Pacific peoples and people living in highly socioeconomically deprived areas were at higher risk of dying from COVID-19, after accounting for the effect</w:t>
      </w:r>
      <w:r>
        <w:rPr>
          <w:rFonts w:cs="Segoe UI"/>
        </w:rPr>
        <w:t>s</w:t>
      </w:r>
      <w:r w:rsidRPr="0007414B">
        <w:rPr>
          <w:rFonts w:cs="Segoe UI"/>
        </w:rPr>
        <w:t xml:space="preserve"> of age, comorbidity and vaccination uptake </w:t>
      </w:r>
      <w:r w:rsidRPr="0007414B">
        <w:rPr>
          <w:rFonts w:cs="Segoe UI"/>
        </w:rPr>
        <w:fldChar w:fldCharType="begin"/>
      </w:r>
      <w:r>
        <w:rPr>
          <w:rFonts w:cs="Segoe UI"/>
        </w:rPr>
        <w:instrText xml:space="preserve"> ADDIN EN.CITE &lt;EndNote&gt;&lt;Cite&gt;&lt;Author&gt;Manatū Hauora&lt;/Author&gt;&lt;Year&gt;2022&lt;/Year&gt;&lt;RecNum&gt;329&lt;/RecNum&gt;&lt;DisplayText&gt;(Manatū Hauora 2022c)&lt;/DisplayText&gt;&lt;record&gt;&lt;rec-number&gt;329&lt;/rec-number&gt;&lt;foreign-keys&gt;&lt;key app="EN" db-id="aaepvppzs5wtfse95vsp2wahsrtvva2vvdet" timestamp="1683261157"&gt;329&lt;/key&gt;&lt;/foreign-keys&gt;&lt;ref-type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mortality in Aotearoa New Zealand: Inequalities in risk&lt;/title&gt;&lt;/titles&gt;&lt;number&gt;5 May 2023&lt;/number&gt;&lt;dates&gt;&lt;year&gt;2022&lt;/year&gt;&lt;/dates&gt;&lt;urls&gt;&lt;related-urls&gt;&lt;url&gt;www.health.govt.nz/publication/covid-19-mortality-aotearoa-new-zealand-inequities-risk&lt;/url&gt;&lt;/related-urls&gt;&lt;/urls&gt;&lt;/record&gt;&lt;/Cite&gt;&lt;/EndNote&gt;</w:instrText>
      </w:r>
      <w:r w:rsidRPr="0007414B">
        <w:rPr>
          <w:rFonts w:cs="Segoe UI"/>
        </w:rPr>
        <w:fldChar w:fldCharType="separate"/>
      </w:r>
      <w:r w:rsidRPr="0007414B">
        <w:rPr>
          <w:rFonts w:cs="Segoe UI"/>
          <w:noProof/>
        </w:rPr>
        <w:t>(Manatū Hauora 2022c)</w:t>
      </w:r>
      <w:r w:rsidRPr="0007414B">
        <w:rPr>
          <w:rFonts w:cs="Segoe UI"/>
        </w:rPr>
        <w:fldChar w:fldCharType="end"/>
      </w:r>
      <w:r w:rsidRPr="0007414B">
        <w:rPr>
          <w:rFonts w:cs="Segoe UI"/>
        </w:rPr>
        <w:t xml:space="preserve">. Further, the report found that, while the effects of ethnic group and deprivation are interrelated, each also has an independent effect on risk. Those with comorbidities, especially those aged under 60 years, were also at higher risk of death from COVID-19 </w:t>
      </w:r>
      <w:r w:rsidRPr="0007414B">
        <w:rPr>
          <w:rFonts w:cs="Segoe UI"/>
        </w:rPr>
        <w:fldChar w:fldCharType="begin"/>
      </w:r>
      <w:r>
        <w:rPr>
          <w:rFonts w:cs="Segoe UI"/>
        </w:rPr>
        <w:instrText xml:space="preserve"> ADDIN EN.CITE &lt;EndNote&gt;&lt;Cite&gt;&lt;Author&gt;Manatū Hauora&lt;/Author&gt;&lt;Year&gt;2022&lt;/Year&gt;&lt;RecNum&gt;329&lt;/RecNum&gt;&lt;DisplayText&gt;(Manatū Hauora 2022c)&lt;/DisplayText&gt;&lt;record&gt;&lt;rec-number&gt;329&lt;/rec-number&gt;&lt;foreign-keys&gt;&lt;key app="EN" db-id="aaepvppzs5wtfse95vsp2wahsrtvva2vvdet" timestamp="1683261157"&gt;329&lt;/key&gt;&lt;/foreign-keys&gt;&lt;ref-type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mortality in Aotearoa New Zealand: Inequalities in risk&lt;/title&gt;&lt;/titles&gt;&lt;number&gt;5 May 2023&lt;/number&gt;&lt;dates&gt;&lt;year&gt;2022&lt;/year&gt;&lt;/dates&gt;&lt;urls&gt;&lt;related-urls&gt;&lt;url&gt;www.health.govt.nz/publication/covid-19-mortality-aotearoa-new-zealand-inequities-risk&lt;/url&gt;&lt;/related-urls&gt;&lt;/urls&gt;&lt;/record&gt;&lt;/Cite&gt;&lt;/EndNote&gt;</w:instrText>
      </w:r>
      <w:r w:rsidRPr="0007414B">
        <w:rPr>
          <w:rFonts w:cs="Segoe UI"/>
        </w:rPr>
        <w:fldChar w:fldCharType="separate"/>
      </w:r>
      <w:r w:rsidRPr="0007414B">
        <w:rPr>
          <w:rFonts w:cs="Segoe UI"/>
          <w:noProof/>
        </w:rPr>
        <w:t>(Manatū Hauora 2022c)</w:t>
      </w:r>
      <w:r w:rsidRPr="0007414B">
        <w:rPr>
          <w:rFonts w:cs="Segoe UI"/>
        </w:rPr>
        <w:fldChar w:fldCharType="end"/>
      </w:r>
      <w:r w:rsidRPr="0007414B">
        <w:rPr>
          <w:rFonts w:cs="Segoe UI"/>
        </w:rPr>
        <w:t xml:space="preserve">. </w:t>
      </w:r>
    </w:p>
    <w:p w14:paraId="42769AE8" w14:textId="77777777" w:rsidR="00395CB9" w:rsidRPr="0007414B" w:rsidRDefault="00395CB9" w:rsidP="007D0711">
      <w:pPr>
        <w:rPr>
          <w:rFonts w:cs="Segoe UI"/>
        </w:rPr>
      </w:pPr>
    </w:p>
    <w:p w14:paraId="2FD6DBA1" w14:textId="6D52B85C" w:rsidR="00395CB9" w:rsidRDefault="00395CB9" w:rsidP="000B7C94">
      <w:pPr>
        <w:rPr>
          <w:rFonts w:cs="Segoe UI"/>
        </w:rPr>
      </w:pPr>
      <w:r w:rsidRPr="0007414B" w:rsidDel="00C71545">
        <w:rPr>
          <w:rFonts w:cs="Segoe UI"/>
        </w:rPr>
        <w:t>T</w:t>
      </w:r>
      <w:r w:rsidRPr="0007414B">
        <w:rPr>
          <w:rFonts w:cs="Segoe UI"/>
        </w:rPr>
        <w:t>here were 2,358 deaths attributed to COVID-19 in the year ending 31 December 2022</w:t>
      </w:r>
      <w:r w:rsidRPr="0007414B">
        <w:rPr>
          <w:rStyle w:val="FootnoteReference"/>
          <w:rFonts w:cs="Segoe UI"/>
        </w:rPr>
        <w:footnoteReference w:id="20"/>
      </w:r>
      <w:r w:rsidRPr="0007414B">
        <w:rPr>
          <w:rFonts w:cs="Segoe UI"/>
        </w:rPr>
        <w:t xml:space="preserve"> </w:t>
      </w:r>
      <w:r w:rsidRPr="0007414B">
        <w:rPr>
          <w:rFonts w:cs="Segoe UI"/>
        </w:rPr>
        <w:fldChar w:fldCharType="begin"/>
      </w:r>
      <w:r w:rsidRPr="0007414B">
        <w:rPr>
          <w:rFonts w:cs="Segoe UI"/>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rPr>
          <w:rFonts w:cs="Segoe UI"/>
        </w:rPr>
        <w:fldChar w:fldCharType="separate"/>
      </w:r>
      <w:r w:rsidRPr="0007414B">
        <w:rPr>
          <w:rFonts w:cs="Segoe UI"/>
        </w:rPr>
        <w:t>(Te Whatu Ora 2023e)</w:t>
      </w:r>
      <w:r w:rsidRPr="0007414B">
        <w:rPr>
          <w:rFonts w:cs="Segoe UI"/>
        </w:rPr>
        <w:fldChar w:fldCharType="end"/>
      </w:r>
      <w:r w:rsidRPr="0007414B">
        <w:rPr>
          <w:rFonts w:cs="Segoe UI"/>
        </w:rPr>
        <w:t xml:space="preserve">. The number of daily deaths peaked in July and August 2022. </w:t>
      </w:r>
      <w:r w:rsidRPr="0007414B">
        <w:rPr>
          <w:rFonts w:cs="Segoe UI"/>
        </w:rPr>
        <w:fldChar w:fldCharType="begin"/>
      </w:r>
      <w:r w:rsidRPr="0007414B">
        <w:rPr>
          <w:rFonts w:cs="Segoe UI"/>
        </w:rPr>
        <w:instrText xml:space="preserve"> REF _Ref131575063 \h  \* MERGEFORMAT </w:instrText>
      </w:r>
      <w:r w:rsidRPr="0007414B">
        <w:rPr>
          <w:rFonts w:cs="Segoe UI"/>
        </w:rPr>
      </w:r>
      <w:r w:rsidRPr="0007414B">
        <w:rPr>
          <w:rFonts w:cs="Segoe UI"/>
        </w:rPr>
        <w:fldChar w:fldCharType="separate"/>
      </w:r>
      <w:r w:rsidR="00BE208D" w:rsidRPr="00BE208D">
        <w:rPr>
          <w:rFonts w:cs="Segoe UI"/>
        </w:rPr>
        <w:t>Figure</w:t>
      </w:r>
      <w:r w:rsidR="00BE208D">
        <w:t xml:space="preserve"> 42</w:t>
      </w:r>
      <w:r w:rsidRPr="0007414B">
        <w:rPr>
          <w:rFonts w:cs="Segoe UI"/>
        </w:rPr>
        <w:fldChar w:fldCharType="end"/>
      </w:r>
      <w:r w:rsidRPr="0007414B">
        <w:rPr>
          <w:rFonts w:cs="Segoe UI"/>
        </w:rPr>
        <w:t xml:space="preserve"> shows the</w:t>
      </w:r>
      <w:r w:rsidRPr="0007414B" w:rsidDel="00E06B7F">
        <w:rPr>
          <w:rFonts w:cs="Segoe UI"/>
        </w:rPr>
        <w:t xml:space="preserve"> </w:t>
      </w:r>
      <w:r w:rsidRPr="0007414B">
        <w:rPr>
          <w:rFonts w:cs="Segoe UI"/>
        </w:rPr>
        <w:t xml:space="preserve">number of deaths attributed to COVID-19 in 2022, both daily and as a 7-day rolling average. </w:t>
      </w:r>
    </w:p>
    <w:p w14:paraId="3F75F175" w14:textId="77777777" w:rsidR="000B7C94" w:rsidRPr="0007414B" w:rsidRDefault="000B7C94" w:rsidP="000B7C94">
      <w:pPr>
        <w:rPr>
          <w:rFonts w:cs="Segoe UI"/>
          <w:szCs w:val="21"/>
        </w:rPr>
      </w:pPr>
    </w:p>
    <w:p w14:paraId="60B469B5" w14:textId="6C1629A4" w:rsidR="00395CB9" w:rsidRPr="0007414B" w:rsidRDefault="00395CB9" w:rsidP="007D0711">
      <w:pPr>
        <w:pStyle w:val="Figure"/>
      </w:pPr>
      <w:bookmarkStart w:id="207" w:name="_Ref131575063"/>
      <w:bookmarkStart w:id="208" w:name="_Toc138326984"/>
      <w:bookmarkStart w:id="209" w:name="_Toc138409965"/>
      <w:r>
        <w:lastRenderedPageBreak/>
        <w:t xml:space="preserve">Figure </w:t>
      </w:r>
      <w:fldSimple w:instr=" SEQ Figure \* ARABIC ">
        <w:r w:rsidR="00BE208D">
          <w:rPr>
            <w:noProof/>
          </w:rPr>
          <w:t>42</w:t>
        </w:r>
      </w:fldSimple>
      <w:bookmarkEnd w:id="207"/>
      <w:r>
        <w:t>: Number of COVID-19 deaths, daily and 7-day rolling average, January to December 2022</w:t>
      </w:r>
      <w:bookmarkEnd w:id="208"/>
      <w:bookmarkEnd w:id="209"/>
    </w:p>
    <w:p w14:paraId="044823C4" w14:textId="77777777" w:rsidR="00395CB9" w:rsidRPr="0007414B" w:rsidRDefault="00395CB9" w:rsidP="00395CB9">
      <w:pPr>
        <w:rPr>
          <w:rFonts w:cs="Segoe UI"/>
        </w:rPr>
      </w:pPr>
      <w:r w:rsidRPr="0007414B">
        <w:rPr>
          <w:noProof/>
        </w:rPr>
        <w:drawing>
          <wp:inline distT="0" distB="0" distL="0" distR="0" wp14:anchorId="597CA46B" wp14:editId="3E5704E7">
            <wp:extent cx="5129049" cy="2564525"/>
            <wp:effectExtent l="0" t="0" r="0" b="7620"/>
            <wp:docPr id="1695314856" name="Picture 1695314856" descr="A timeseries bar and line chart showing the number of COVID-19 deaths from January through December 2022. The bars show the number of daily deaths, and a line shows the 7-day rolling death average. There are two peaks in deaths, the first in March, and the second in July. The second peak is the largest, with the 7-day average deaths reaching more than 20 deaths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6" name="Picture 1695314856" descr="A timeseries bar and line chart showing the number of COVID-19 deaths from January through December 2022. The bars show the number of daily deaths, and a line shows the 7-day rolling death average. There are two peaks in deaths, the first in March, and the second in July. The second peak is the largest, with the 7-day average deaths reaching more than 20 deaths per day.&#10;"/>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142707" cy="2571354"/>
                    </a:xfrm>
                    <a:prstGeom prst="rect">
                      <a:avLst/>
                    </a:prstGeom>
                  </pic:spPr>
                </pic:pic>
              </a:graphicData>
            </a:graphic>
          </wp:inline>
        </w:drawing>
      </w:r>
    </w:p>
    <w:p w14:paraId="5E90D5F7" w14:textId="77777777" w:rsidR="00395CB9" w:rsidRPr="007D0711" w:rsidRDefault="00395CB9" w:rsidP="007D0711">
      <w:pPr>
        <w:pStyle w:val="Source"/>
      </w:pPr>
      <w:r w:rsidRPr="007D0711">
        <w:t xml:space="preserve">Source: </w:t>
      </w:r>
      <w:hyperlink r:id="rId121">
        <w:r w:rsidRPr="007D0711">
          <w:rPr>
            <w:rStyle w:val="Hyperlink"/>
          </w:rPr>
          <w:t>Te Whatu Ora (2023e)</w:t>
        </w:r>
      </w:hyperlink>
    </w:p>
    <w:p w14:paraId="7E56328E" w14:textId="77777777" w:rsidR="00395CB9" w:rsidRPr="0007414B" w:rsidRDefault="00395CB9" w:rsidP="007D0711">
      <w:pPr>
        <w:pStyle w:val="Heading3"/>
      </w:pPr>
      <w:r w:rsidRPr="0007414B">
        <w:t>COVID-19 and disabled people</w:t>
      </w:r>
    </w:p>
    <w:p w14:paraId="4BDE7D54" w14:textId="77777777" w:rsidR="00395CB9" w:rsidRPr="0007414B" w:rsidRDefault="00395CB9" w:rsidP="007D0711">
      <w:r w:rsidRPr="0007414B">
        <w:t xml:space="preserve">The 2013 New Zealand Disability Survey estimated 24% of the population (1.1 million people) are disabled </w:t>
      </w:r>
      <w:r w:rsidRPr="0007414B">
        <w:fldChar w:fldCharType="begin"/>
      </w:r>
      <w:r w:rsidRPr="0007414B">
        <w:instrText xml:space="preserve"> ADDIN EN.CITE &lt;EndNote&gt;&lt;Cite&gt;&lt;Author&gt;Stats NZ&lt;/Author&gt;&lt;Year&gt;2014&lt;/Year&gt;&lt;RecNum&gt;6&lt;/RecNum&gt;&lt;DisplayText&gt;(Stats NZ 2014)&lt;/DisplayText&gt;&lt;record&gt;&lt;rec-number&gt;6&lt;/rec-number&gt;&lt;foreign-keys&gt;&lt;key app="EN" db-id="aaepvppzs5wtfse95vsp2wahsrtvva2vvdet" timestamp="1631856944"&gt;6&lt;/key&gt;&lt;/foreign-keys&gt;&lt;ref-type name="Web Page"&gt;12&lt;/ref-type&gt;&lt;contributors&gt;&lt;authors&gt;&lt;author&gt;Stats NZ,&lt;/author&gt;&lt;/authors&gt;&lt;/contributors&gt;&lt;titles&gt;&lt;title&gt;Disability Survey: 2013&lt;/title&gt;&lt;/titles&gt;&lt;number&gt;5 May 2023&lt;/number&gt;&lt;dates&gt;&lt;year&gt;2014&lt;/year&gt;&lt;/dates&gt;&lt;urls&gt;&lt;related-urls&gt;&lt;url&gt;www.stats.govt.nz/information-releases/disability-survey-2013&lt;/url&gt;&lt;/related-urls&gt;&lt;/urls&gt;&lt;/record&gt;&lt;/Cite&gt;&lt;/EndNote&gt;</w:instrText>
      </w:r>
      <w:r w:rsidRPr="0007414B">
        <w:fldChar w:fldCharType="separate"/>
      </w:r>
      <w:r w:rsidRPr="0007414B">
        <w:t>(Stats NZ 2014)</w:t>
      </w:r>
      <w:r w:rsidRPr="0007414B">
        <w:fldChar w:fldCharType="end"/>
      </w:r>
      <w:r w:rsidRPr="0007414B">
        <w:t xml:space="preserve">. Within this group, about 45,000 people receive funded disability support services (DSS recipients) with support from Whaikaha </w:t>
      </w:r>
      <w:r w:rsidRPr="0007414B">
        <w:fldChar w:fldCharType="begin"/>
      </w:r>
      <w:r>
        <w:instrText xml:space="preserve"> ADDIN EN.CITE &lt;EndNote&gt;&lt;Cite&gt;&lt;Author&gt;Whaikaha&lt;/Author&gt;&lt;Year&gt;2023&lt;/Year&gt;&lt;RecNum&gt;396&lt;/RecNum&gt;&lt;DisplayText&gt;(Whaikaha 2023)&lt;/DisplayText&gt;&lt;record&gt;&lt;rec-number&gt;396&lt;/rec-number&gt;&lt;foreign-keys&gt;&lt;key app="EN" db-id="aaepvppzs5wtfse95vsp2wahsrtvva2vvdet" timestamp="1684713945"&gt;396&lt;/key&gt;&lt;/foreign-keys&gt;&lt;ref-type name="Web Page"&gt;12&lt;/ref-type&gt;&lt;contributors&gt;&lt;authors&gt;&lt;author&gt;Whaikaha,&lt;/author&gt;&lt;/authors&gt;&lt;/contributors&gt;&lt;titles&gt;&lt;title&gt;COVID-19 disability data review&lt;/title&gt;&lt;/titles&gt;&lt;number&gt;18 May 2023&lt;/number&gt;&lt;dates&gt;&lt;year&gt;2023&lt;/year&gt;&lt;/dates&gt;&lt;urls&gt;&lt;related-urls&gt;&lt;url&gt;www.whaikaha.govt.nz/news-and-events/news/covid-19-disability-data-review/&lt;/url&gt;&lt;/related-urls&gt;&lt;/urls&gt;&lt;/record&gt;&lt;/Cite&gt;&lt;/EndNote&gt;</w:instrText>
      </w:r>
      <w:r w:rsidRPr="0007414B">
        <w:fldChar w:fldCharType="separate"/>
      </w:r>
      <w:r w:rsidRPr="0007414B">
        <w:rPr>
          <w:noProof/>
        </w:rPr>
        <w:t>(Whaikaha 2023)</w:t>
      </w:r>
      <w:r w:rsidRPr="0007414B">
        <w:fldChar w:fldCharType="end"/>
      </w:r>
      <w:r w:rsidRPr="0007414B">
        <w:t xml:space="preserve">. This group of people with complex impairments is substantially more likely to be highly vulnerable to COVID-19. </w:t>
      </w:r>
    </w:p>
    <w:p w14:paraId="317AD037" w14:textId="77777777" w:rsidR="00395CB9" w:rsidRPr="0007414B" w:rsidRDefault="00395CB9" w:rsidP="007D0711"/>
    <w:p w14:paraId="4F929982" w14:textId="77777777" w:rsidR="00395CB9" w:rsidRPr="0007414B" w:rsidRDefault="00395CB9" w:rsidP="007D0711">
      <w:r w:rsidRPr="0007414B">
        <w:t xml:space="preserve">On 16 December 2022, Manatū Hauora published </w:t>
      </w:r>
      <w:hyperlink r:id="rId122">
        <w:r w:rsidRPr="0007414B">
          <w:rPr>
            <w:rStyle w:val="Hyperlink"/>
            <w:rFonts w:cs="Segoe UI"/>
          </w:rPr>
          <w:t>COVID-19 Risk among Disabled People</w:t>
        </w:r>
      </w:hyperlink>
      <w:r w:rsidRPr="0007414B">
        <w:t xml:space="preserve"> in which it analysed COVID-19 risk and outcomes for disabled people. The report made the following key points.</w:t>
      </w:r>
    </w:p>
    <w:p w14:paraId="4617EDA9" w14:textId="77777777" w:rsidR="00395CB9" w:rsidRPr="0007414B" w:rsidRDefault="00395CB9" w:rsidP="007D0711">
      <w:pPr>
        <w:pStyle w:val="Bullet"/>
      </w:pPr>
      <w:r w:rsidRPr="0007414B">
        <w:t>DSS recipients were less likely to be reported as a COVID-19 case, with a cumulative risk</w:t>
      </w:r>
      <w:r w:rsidRPr="0007414B" w:rsidDel="002F1521">
        <w:t xml:space="preserve"> </w:t>
      </w:r>
      <w:r w:rsidRPr="0007414B">
        <w:t>around 15% lower than the rest of the population of Aotearoa New Zealand during 2022. However,</w:t>
      </w:r>
      <w:r w:rsidRPr="0007414B" w:rsidDel="002F1521">
        <w:t xml:space="preserve"> </w:t>
      </w:r>
      <w:r w:rsidRPr="0007414B">
        <w:t>DSS recipients who became infected had 4 times the risk of hospitalisation from COVID-19 and 13 times the risk of death from COVID-19, compared with the rest of the</w:t>
      </w:r>
      <w:r w:rsidRPr="0007414B" w:rsidDel="002F1521">
        <w:t xml:space="preserve"> </w:t>
      </w:r>
      <w:r w:rsidRPr="0007414B">
        <w:t xml:space="preserve">population. </w:t>
      </w:r>
    </w:p>
    <w:p w14:paraId="1F0559A4" w14:textId="77777777" w:rsidR="00395CB9" w:rsidRPr="0007414B" w:rsidRDefault="00395CB9" w:rsidP="007D0711">
      <w:pPr>
        <w:pStyle w:val="Bullet"/>
      </w:pPr>
      <w:r w:rsidRPr="0007414B">
        <w:t>The mortality risk from causes not related to COVID-19 was also substantial. DSS recipients had 19 times the risk of dying from these causes compared with the rest of the</w:t>
      </w:r>
      <w:r w:rsidRPr="0007414B" w:rsidDel="002F1521">
        <w:t xml:space="preserve"> </w:t>
      </w:r>
      <w:r w:rsidRPr="0007414B">
        <w:t xml:space="preserve">population. </w:t>
      </w:r>
    </w:p>
    <w:p w14:paraId="2B4CBBFA" w14:textId="77777777" w:rsidR="00395CB9" w:rsidRPr="0007414B" w:rsidRDefault="00395CB9" w:rsidP="007D0711">
      <w:pPr>
        <w:pStyle w:val="Bullet"/>
      </w:pPr>
      <w:r w:rsidRPr="0007414B">
        <w:t>Overall, the data suggests that DSS recipients have a substantially greater risk of severe outcomes (hospitalisation and death) after COVID-19 infection</w:t>
      </w:r>
      <w:r>
        <w:t xml:space="preserve"> </w:t>
      </w:r>
      <w:r w:rsidRPr="0007414B">
        <w:rPr>
          <w:rFonts w:cs="Segoe UI"/>
        </w:rPr>
        <w:fldChar w:fldCharType="begin"/>
      </w:r>
      <w:r>
        <w:rPr>
          <w:rFonts w:cs="Segoe UI"/>
        </w:rPr>
        <w:instrText xml:space="preserve"> ADDIN EN.CITE &lt;EndNote&gt;&lt;Cite&gt;&lt;Author&gt;Manatū Hauora&lt;/Author&gt;&lt;Year&gt;2023&lt;/Year&gt;&lt;RecNum&gt;328&lt;/RecNum&gt;&lt;DisplayText&gt;(Manatū Hauora 2023c)&lt;/DisplayText&gt;&lt;record&gt;&lt;rec-number&gt;328&lt;/rec-number&gt;&lt;foreign-keys&gt;&lt;key app="EN" db-id="aaepvppzs5wtfse95vsp2wahsrtvva2vvdet" timestamp="1683261051"&gt;328&lt;/key&gt;&lt;/foreign-keys&gt;&lt;ref-type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risk among disabled people&lt;/title&gt;&lt;/titles&gt;&lt;number&gt;5 May 2023&lt;/number&gt;&lt;dates&gt;&lt;year&gt;2023&lt;/year&gt;&lt;/dates&gt;&lt;urls&gt;&lt;related-urls&gt;&lt;url&gt;www.health.govt.nz/publication/covid-19-risk-among-disabled-people&lt;/url&gt;&lt;/related-urls&gt;&lt;/urls&gt;&lt;/record&gt;&lt;/Cite&gt;&lt;/EndNote&gt;</w:instrText>
      </w:r>
      <w:r w:rsidRPr="0007414B">
        <w:rPr>
          <w:rFonts w:cs="Segoe UI"/>
        </w:rPr>
        <w:fldChar w:fldCharType="separate"/>
      </w:r>
      <w:r w:rsidRPr="0007414B">
        <w:rPr>
          <w:rFonts w:cs="Segoe UI"/>
          <w:noProof/>
        </w:rPr>
        <w:t>(Manatū Hauora 2023c)</w:t>
      </w:r>
      <w:r w:rsidRPr="0007414B">
        <w:rPr>
          <w:rFonts w:cs="Segoe UI"/>
        </w:rPr>
        <w:fldChar w:fldCharType="end"/>
      </w:r>
      <w:r w:rsidRPr="0007414B">
        <w:t>.</w:t>
      </w:r>
    </w:p>
    <w:p w14:paraId="19CF9F4B" w14:textId="77777777" w:rsidR="00395CB9" w:rsidRPr="0007414B" w:rsidRDefault="00395CB9" w:rsidP="007D0711">
      <w:pPr>
        <w:pStyle w:val="Heading3"/>
      </w:pPr>
      <w:r w:rsidRPr="0007414B">
        <w:t>COVID-19 across ethnic groups</w:t>
      </w:r>
    </w:p>
    <w:p w14:paraId="0C54C2FC" w14:textId="65DBE1D9" w:rsidR="009D7A76" w:rsidRPr="009D7A76" w:rsidRDefault="00395CB9" w:rsidP="009D7A76">
      <w:pPr>
        <w:rPr>
          <w:rFonts w:eastAsia="Courier New"/>
        </w:rPr>
      </w:pPr>
      <w:r w:rsidRPr="0007414B">
        <w:rPr>
          <w:rFonts w:eastAsia="Courier New"/>
        </w:rPr>
        <w:t>In 2022 the rate of COVID-19 cases was higher for Pacific peoples and Māori than for other ethnic groups (</w:t>
      </w:r>
      <w:r>
        <w:rPr>
          <w:rFonts w:eastAsia="Courier New"/>
        </w:rPr>
        <w:fldChar w:fldCharType="begin"/>
      </w:r>
      <w:r>
        <w:rPr>
          <w:rFonts w:eastAsia="Courier New"/>
        </w:rPr>
        <w:instrText xml:space="preserve"> REF _Ref131577061 </w:instrText>
      </w:r>
      <w:r w:rsidR="007D0711">
        <w:rPr>
          <w:rFonts w:eastAsia="Courier New"/>
        </w:rPr>
        <w:instrText xml:space="preserve"> \* MERGEFORMAT </w:instrText>
      </w:r>
      <w:r>
        <w:rPr>
          <w:rFonts w:eastAsia="Courier New"/>
        </w:rPr>
        <w:fldChar w:fldCharType="separate"/>
      </w:r>
      <w:r w:rsidR="00BE208D">
        <w:t xml:space="preserve">Figure </w:t>
      </w:r>
      <w:r w:rsidR="00BE208D">
        <w:rPr>
          <w:noProof/>
        </w:rPr>
        <w:t>43</w:t>
      </w:r>
      <w:r>
        <w:rPr>
          <w:rFonts w:eastAsia="Courier New"/>
        </w:rPr>
        <w:fldChar w:fldCharType="end"/>
      </w:r>
      <w:r>
        <w:rPr>
          <w:rFonts w:eastAsia="Courier New"/>
        </w:rPr>
        <w:t>;</w:t>
      </w:r>
      <w:r w:rsidRPr="0007414B">
        <w:rPr>
          <w:rFonts w:eastAsia="Courier New"/>
        </w:rPr>
        <w:t xml:space="preserve"> </w:t>
      </w:r>
      <w:r w:rsidRPr="0007414B">
        <w:rPr>
          <w:rFonts w:eastAsia="Courier New"/>
        </w:rPr>
        <w:fldChar w:fldCharType="begin"/>
      </w:r>
      <w:r w:rsidRPr="0007414B">
        <w:rPr>
          <w:rFonts w:eastAsia="Courier New"/>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rPr>
          <w:rFonts w:eastAsia="Courier New"/>
        </w:rPr>
        <w:fldChar w:fldCharType="separate"/>
      </w:r>
      <w:r w:rsidRPr="0007414B">
        <w:rPr>
          <w:rFonts w:eastAsia="Courier New"/>
        </w:rPr>
        <w:t>Te Whatu Ora 2023e)</w:t>
      </w:r>
      <w:r w:rsidRPr="0007414B">
        <w:rPr>
          <w:rFonts w:eastAsia="Courier New"/>
        </w:rPr>
        <w:fldChar w:fldCharType="end"/>
      </w:r>
      <w:r w:rsidRPr="0007414B">
        <w:rPr>
          <w:rFonts w:eastAsia="Courier New"/>
        </w:rPr>
        <w:t>. The higher proportion of cases carried through to a higher rate of hospital admissions (</w:t>
      </w:r>
      <w:r w:rsidRPr="0007414B">
        <w:fldChar w:fldCharType="begin"/>
      </w:r>
      <w:r w:rsidRPr="0007414B">
        <w:instrText xml:space="preserve"> REF _Ref131577679 \h  \* MERGEFORMAT </w:instrText>
      </w:r>
      <w:r w:rsidRPr="0007414B">
        <w:fldChar w:fldCharType="separate"/>
      </w:r>
      <w:r w:rsidR="00BE208D">
        <w:t>Figure 44</w:t>
      </w:r>
      <w:r w:rsidRPr="0007414B">
        <w:fldChar w:fldCharType="end"/>
      </w:r>
      <w:r w:rsidRPr="0007414B">
        <w:rPr>
          <w:rFonts w:eastAsia="Courier New"/>
        </w:rPr>
        <w:t>) and a higher rate of deaths</w:t>
      </w:r>
      <w:r w:rsidR="009D7A76">
        <w:rPr>
          <w:rFonts w:eastAsia="Courier New"/>
        </w:rPr>
        <w:t xml:space="preserve"> </w:t>
      </w:r>
      <w:r w:rsidR="000558DD">
        <w:rPr>
          <w:rFonts w:eastAsia="Courier New"/>
        </w:rPr>
        <w:t>(</w:t>
      </w:r>
      <w:r w:rsidR="009D7A76">
        <w:rPr>
          <w:rFonts w:eastAsia="Courier New"/>
        </w:rPr>
        <w:fldChar w:fldCharType="begin"/>
      </w:r>
      <w:r w:rsidR="009D7A76">
        <w:rPr>
          <w:rFonts w:eastAsia="Courier New"/>
        </w:rPr>
        <w:instrText xml:space="preserve"> REF _Ref138411214 \h </w:instrText>
      </w:r>
      <w:r w:rsidR="009D7A76">
        <w:rPr>
          <w:rFonts w:eastAsia="Courier New"/>
        </w:rPr>
      </w:r>
      <w:r w:rsidR="009D7A76">
        <w:rPr>
          <w:rFonts w:eastAsia="Courier New"/>
        </w:rPr>
        <w:fldChar w:fldCharType="separate"/>
      </w:r>
      <w:r w:rsidR="00BE208D">
        <w:t xml:space="preserve">Figure </w:t>
      </w:r>
      <w:r w:rsidR="00BE208D">
        <w:rPr>
          <w:noProof/>
        </w:rPr>
        <w:t>45</w:t>
      </w:r>
      <w:r w:rsidR="009D7A76">
        <w:rPr>
          <w:rFonts w:eastAsia="Courier New"/>
        </w:rPr>
        <w:fldChar w:fldCharType="end"/>
      </w:r>
      <w:r w:rsidR="000558DD">
        <w:rPr>
          <w:rFonts w:eastAsia="Courier New"/>
        </w:rPr>
        <w:t>)</w:t>
      </w:r>
      <w:r w:rsidR="009D7A76" w:rsidRPr="009D7A76">
        <w:t xml:space="preserve"> </w:t>
      </w:r>
      <w:r w:rsidR="009D7A76" w:rsidRPr="009D7A76">
        <w:rPr>
          <w:rFonts w:eastAsia="Courier New"/>
        </w:rPr>
        <w:t>for Pacific peoples and Māori.</w:t>
      </w:r>
    </w:p>
    <w:p w14:paraId="4F920C1C" w14:textId="07669720" w:rsidR="00395CB9" w:rsidRPr="0007414B" w:rsidRDefault="00395CB9" w:rsidP="007D0711">
      <w:pPr>
        <w:pStyle w:val="Figure"/>
      </w:pPr>
      <w:bookmarkStart w:id="210" w:name="_Ref131577061"/>
      <w:bookmarkStart w:id="211" w:name="_Toc138326985"/>
      <w:bookmarkStart w:id="212" w:name="_Toc138409966"/>
      <w:r>
        <w:lastRenderedPageBreak/>
        <w:t xml:space="preserve">Figure </w:t>
      </w:r>
      <w:fldSimple w:instr=" SEQ Figure \* ARABIC ">
        <w:r w:rsidR="00BE208D">
          <w:rPr>
            <w:noProof/>
          </w:rPr>
          <w:t>43</w:t>
        </w:r>
      </w:fldSimple>
      <w:bookmarkEnd w:id="210"/>
      <w:r>
        <w:t>: Rate</w:t>
      </w:r>
      <w:r w:rsidDel="00F53A77">
        <w:t xml:space="preserve"> </w:t>
      </w:r>
      <w:r>
        <w:t>of daily COVID-19 cases per 100,000 population, by ethnic group, 2022</w:t>
      </w:r>
      <w:bookmarkEnd w:id="211"/>
      <w:bookmarkEnd w:id="212"/>
    </w:p>
    <w:p w14:paraId="30E7676A" w14:textId="77777777" w:rsidR="00395CB9" w:rsidRPr="0007414B" w:rsidRDefault="00395CB9" w:rsidP="00395CB9">
      <w:pPr>
        <w:spacing w:after="160" w:line="259" w:lineRule="auto"/>
        <w:rPr>
          <w:rFonts w:eastAsia="Courier New" w:cs="Segoe UI"/>
          <w:b/>
          <w:highlight w:val="green"/>
        </w:rPr>
      </w:pPr>
      <w:r w:rsidRPr="0007414B">
        <w:rPr>
          <w:noProof/>
        </w:rPr>
        <w:drawing>
          <wp:inline distT="0" distB="0" distL="0" distR="0" wp14:anchorId="64731B25" wp14:editId="4D04CB3D">
            <wp:extent cx="5184140" cy="2592071"/>
            <wp:effectExtent l="0" t="0" r="0" b="0"/>
            <wp:docPr id="1695314857" name="Picture 1695314857" descr="A timeseries line chart showing the 7-day average daily COVID-19 case rate by ethnic group from January through December 2022. Pacific peoples had the largest peak, starting in February to March. By the end of the year the rates are about the same for all ethnic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7" name="Picture 1695314857" descr="A timeseries line chart showing the 7-day average daily COVID-19 case rate by ethnic group from January through December 2022. Pacific peoples had the largest peak, starting in February to March. By the end of the year the rates are about the same for all ethnic groups.&#10;"/>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191006" cy="2595504"/>
                    </a:xfrm>
                    <a:prstGeom prst="rect">
                      <a:avLst/>
                    </a:prstGeom>
                  </pic:spPr>
                </pic:pic>
              </a:graphicData>
            </a:graphic>
          </wp:inline>
        </w:drawing>
      </w:r>
    </w:p>
    <w:p w14:paraId="38770DCC" w14:textId="77777777" w:rsidR="00395CB9" w:rsidRPr="007D0711" w:rsidRDefault="00395CB9" w:rsidP="007D0711">
      <w:pPr>
        <w:pStyle w:val="Source"/>
      </w:pPr>
      <w:r w:rsidRPr="007D0711">
        <w:t xml:space="preserve">Source: </w:t>
      </w:r>
      <w:hyperlink r:id="rId124">
        <w:r w:rsidRPr="007D0711">
          <w:rPr>
            <w:rStyle w:val="Hyperlink"/>
          </w:rPr>
          <w:t>Te Whatu Ora (2023e)</w:t>
        </w:r>
      </w:hyperlink>
    </w:p>
    <w:p w14:paraId="4A591F1B" w14:textId="77777777" w:rsidR="00395CB9" w:rsidRPr="0007414B" w:rsidRDefault="00395CB9" w:rsidP="00395CB9">
      <w:pPr>
        <w:spacing w:after="160" w:line="259" w:lineRule="auto"/>
        <w:rPr>
          <w:rFonts w:eastAsia="Courier New" w:cs="Segoe UI"/>
          <w:b/>
          <w:highlight w:val="green"/>
        </w:rPr>
      </w:pPr>
    </w:p>
    <w:p w14:paraId="580B1A09" w14:textId="4C5BBF3A" w:rsidR="00395CB9" w:rsidRPr="0007414B" w:rsidRDefault="00395CB9" w:rsidP="007D0711">
      <w:pPr>
        <w:pStyle w:val="Figure"/>
      </w:pPr>
      <w:bookmarkStart w:id="213" w:name="_Ref131577679"/>
      <w:bookmarkStart w:id="214" w:name="_Toc138326986"/>
      <w:bookmarkStart w:id="215" w:name="_Toc138409967"/>
      <w:r>
        <w:t xml:space="preserve">Figure </w:t>
      </w:r>
      <w:fldSimple w:instr=" SEQ Figure \* ARABIC ">
        <w:r w:rsidR="00BE208D">
          <w:rPr>
            <w:noProof/>
          </w:rPr>
          <w:t>44</w:t>
        </w:r>
      </w:fldSimple>
      <w:bookmarkEnd w:id="213"/>
      <w:r>
        <w:t>: Rate</w:t>
      </w:r>
      <w:r w:rsidDel="008766A5">
        <w:t xml:space="preserve"> </w:t>
      </w:r>
      <w:r>
        <w:t>of COVID-19 hospital admissions per 100,000 population, by ethnic group, 2022</w:t>
      </w:r>
      <w:bookmarkEnd w:id="214"/>
      <w:bookmarkEnd w:id="215"/>
    </w:p>
    <w:p w14:paraId="3CF2B332" w14:textId="77777777" w:rsidR="00395CB9" w:rsidRPr="0007414B" w:rsidRDefault="00395CB9" w:rsidP="00395CB9">
      <w:pPr>
        <w:spacing w:after="160" w:line="259" w:lineRule="auto"/>
        <w:rPr>
          <w:rFonts w:eastAsia="Courier New" w:cs="Segoe UI"/>
          <w:b/>
          <w:highlight w:val="green"/>
        </w:rPr>
      </w:pPr>
      <w:r w:rsidRPr="0007414B">
        <w:rPr>
          <w:noProof/>
        </w:rPr>
        <w:drawing>
          <wp:inline distT="0" distB="0" distL="0" distR="0" wp14:anchorId="2F0446ED" wp14:editId="4D2DC160">
            <wp:extent cx="5184743" cy="2592372"/>
            <wp:effectExtent l="0" t="0" r="0" b="0"/>
            <wp:docPr id="1695314858" name="Picture 1695314858" descr="A timeseries line chart showing the 7-day daily hospital admissions for COVID-19 by ethnic group from January through December 2022. Pacific peoples, followed by Māori had the largest peak which occurred in March. By the end of the year the differences in rates were not as stark, however rates for Pacific peoples and Māori remained higher compared to Asian and European/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8" name="Picture 1695314858" descr="A timeseries line chart showing the 7-day daily hospital admissions for COVID-19 by ethnic group from January through December 2022. Pacific peoples, followed by Māori had the largest peak which occurred in March. By the end of the year the differences in rates were not as stark, however rates for Pacific peoples and Māori remained higher compared to Asian and European/other.&#10;"/>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197711" cy="2598856"/>
                    </a:xfrm>
                    <a:prstGeom prst="rect">
                      <a:avLst/>
                    </a:prstGeom>
                  </pic:spPr>
                </pic:pic>
              </a:graphicData>
            </a:graphic>
          </wp:inline>
        </w:drawing>
      </w:r>
    </w:p>
    <w:p w14:paraId="45D15C88" w14:textId="77777777" w:rsidR="00395CB9" w:rsidRPr="007D0711" w:rsidRDefault="00395CB9" w:rsidP="007D0711">
      <w:pPr>
        <w:pStyle w:val="Source"/>
      </w:pPr>
      <w:r w:rsidRPr="007D0711">
        <w:t xml:space="preserve">Source: </w:t>
      </w:r>
      <w:hyperlink r:id="rId126">
        <w:r w:rsidRPr="007D0711">
          <w:rPr>
            <w:rStyle w:val="Hyperlink"/>
          </w:rPr>
          <w:t>Te Whatu Ora (2023e)</w:t>
        </w:r>
      </w:hyperlink>
    </w:p>
    <w:p w14:paraId="0BD79F4E" w14:textId="77777777" w:rsidR="00395CB9" w:rsidRPr="0007414B" w:rsidRDefault="00395CB9" w:rsidP="00395CB9">
      <w:pPr>
        <w:spacing w:after="160" w:line="259" w:lineRule="auto"/>
        <w:rPr>
          <w:rFonts w:eastAsia="Courier New" w:cs="Segoe UI"/>
          <w:b/>
          <w:highlight w:val="green"/>
        </w:rPr>
      </w:pPr>
    </w:p>
    <w:p w14:paraId="327987EE" w14:textId="4A181191" w:rsidR="00395CB9" w:rsidRPr="0007414B" w:rsidRDefault="00395CB9" w:rsidP="007D0711">
      <w:pPr>
        <w:pStyle w:val="Figure"/>
      </w:pPr>
      <w:bookmarkStart w:id="216" w:name="_Ref131578628"/>
      <w:bookmarkStart w:id="217" w:name="_Ref138411214"/>
      <w:bookmarkStart w:id="218" w:name="_Toc138326987"/>
      <w:bookmarkStart w:id="219" w:name="_Toc138409968"/>
      <w:r>
        <w:lastRenderedPageBreak/>
        <w:t xml:space="preserve">Figure </w:t>
      </w:r>
      <w:fldSimple w:instr=" SEQ Figure \* ARABIC ">
        <w:r w:rsidR="00BE208D">
          <w:rPr>
            <w:noProof/>
          </w:rPr>
          <w:t>45</w:t>
        </w:r>
      </w:fldSimple>
      <w:bookmarkEnd w:id="216"/>
      <w:bookmarkEnd w:id="217"/>
      <w:r>
        <w:t>: Rate of COVID-19 deaths per 100,000 population, by ethnic group, 2022</w:t>
      </w:r>
      <w:bookmarkEnd w:id="218"/>
      <w:bookmarkEnd w:id="219"/>
    </w:p>
    <w:p w14:paraId="7B608256" w14:textId="77777777" w:rsidR="00395CB9" w:rsidRPr="0007414B" w:rsidRDefault="00395CB9" w:rsidP="00395CB9">
      <w:pPr>
        <w:spacing w:after="160" w:line="259" w:lineRule="auto"/>
        <w:rPr>
          <w:rFonts w:eastAsia="Courier New" w:cs="Segoe UI"/>
          <w:b/>
          <w:highlight w:val="green"/>
        </w:rPr>
      </w:pPr>
      <w:r w:rsidRPr="0007414B">
        <w:rPr>
          <w:noProof/>
        </w:rPr>
        <w:drawing>
          <wp:inline distT="0" distB="0" distL="0" distR="0" wp14:anchorId="74015A39" wp14:editId="7BD66F19">
            <wp:extent cx="5184740" cy="2592371"/>
            <wp:effectExtent l="0" t="0" r="0" b="0"/>
            <wp:docPr id="1695314859" name="Picture 1695314859" descr="A timeseries line chart showing the 7-day average daily COVID-19 death rate by ethnic group from January through December 2022. Pacific peoples, followed by Māori had the largest peak, occurring in March. By the end of the year the difference in rates was smaller, however the rate for Pacific peoples remained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59" name="Picture 1695314859" descr="A timeseries line chart showing the 7-day average daily COVID-19 death rate by ethnic group from January through December 2022. Pacific peoples, followed by Māori had the largest peak, occurring in March. By the end of the year the difference in rates was smaller, however the rate for Pacific peoples remained higher.&#10;"/>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198142" cy="2599072"/>
                    </a:xfrm>
                    <a:prstGeom prst="rect">
                      <a:avLst/>
                    </a:prstGeom>
                  </pic:spPr>
                </pic:pic>
              </a:graphicData>
            </a:graphic>
          </wp:inline>
        </w:drawing>
      </w:r>
    </w:p>
    <w:p w14:paraId="40750505" w14:textId="77777777" w:rsidR="00395CB9" w:rsidRPr="007D0711" w:rsidRDefault="00395CB9" w:rsidP="007D0711">
      <w:pPr>
        <w:pStyle w:val="Source"/>
      </w:pPr>
      <w:r w:rsidRPr="007D0711">
        <w:t xml:space="preserve">Source: </w:t>
      </w:r>
      <w:hyperlink r:id="rId128">
        <w:r w:rsidRPr="007D0711">
          <w:rPr>
            <w:rStyle w:val="Hyperlink"/>
          </w:rPr>
          <w:t>Te Whatu Ora (2023e)</w:t>
        </w:r>
      </w:hyperlink>
    </w:p>
    <w:p w14:paraId="2CEBDCE6" w14:textId="77777777" w:rsidR="00395CB9" w:rsidRPr="0007414B" w:rsidRDefault="00395CB9" w:rsidP="00BA5AE4">
      <w:pPr>
        <w:pStyle w:val="Heading3"/>
      </w:pPr>
      <w:r w:rsidRPr="0007414B">
        <w:t>COVID-19 across age groups</w:t>
      </w:r>
    </w:p>
    <w:p w14:paraId="6F86269D" w14:textId="7CF0B3CE" w:rsidR="00395CB9" w:rsidRPr="00B468C7" w:rsidRDefault="00395CB9" w:rsidP="007D0711">
      <w:r w:rsidRPr="0007414B">
        <w:rPr>
          <w:rFonts w:eastAsia="Courier New"/>
        </w:rPr>
        <w:t xml:space="preserve">In the first wave of COVID-19 in 2022, rates of infections were highest for people aged 15–24 years, followed by those aged 25–44 and 5–14 years </w:t>
      </w:r>
      <w:r w:rsidRPr="0007414B">
        <w:rPr>
          <w:rFonts w:eastAsia="Courier New"/>
        </w:rPr>
        <w:fldChar w:fldCharType="begin"/>
      </w:r>
      <w:r w:rsidRPr="0007414B">
        <w:rPr>
          <w:rFonts w:eastAsia="Courier New"/>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rPr>
          <w:rFonts w:eastAsia="Courier New"/>
        </w:rPr>
        <w:fldChar w:fldCharType="separate"/>
      </w:r>
      <w:r w:rsidRPr="0007414B">
        <w:rPr>
          <w:rFonts w:eastAsia="Courier New"/>
        </w:rPr>
        <w:t>(Te Whatu Ora 2023e)</w:t>
      </w:r>
      <w:r w:rsidRPr="0007414B">
        <w:rPr>
          <w:rFonts w:eastAsia="Courier New"/>
        </w:rPr>
        <w:fldChar w:fldCharType="end"/>
      </w:r>
      <w:r w:rsidRPr="0007414B">
        <w:rPr>
          <w:rFonts w:eastAsia="Courier New"/>
        </w:rPr>
        <w:t>. The later waves saw higher rates of infection for people aged over 65 years (</w:t>
      </w:r>
      <w:r w:rsidRPr="0007414B">
        <w:fldChar w:fldCharType="begin"/>
      </w:r>
      <w:r w:rsidRPr="0007414B">
        <w:instrText xml:space="preserve"> REF _Ref131582829 \h  \* MERGEFORMAT </w:instrText>
      </w:r>
      <w:r w:rsidRPr="0007414B">
        <w:fldChar w:fldCharType="separate"/>
      </w:r>
      <w:r w:rsidR="00BE208D">
        <w:t>Figure 46</w:t>
      </w:r>
      <w:r w:rsidRPr="0007414B">
        <w:fldChar w:fldCharType="end"/>
      </w:r>
      <w:r w:rsidRPr="0007414B">
        <w:rPr>
          <w:rFonts w:eastAsia="Courier New"/>
        </w:rPr>
        <w:t>). Rates of hospitalisation were highest for those 65 years and over, followed by children aged 5 years and under (</w:t>
      </w:r>
      <w:r w:rsidR="00BA5AE4">
        <w:rPr>
          <w:rFonts w:eastAsia="Courier New"/>
        </w:rPr>
        <w:fldChar w:fldCharType="begin"/>
      </w:r>
      <w:r w:rsidR="00BA5AE4">
        <w:rPr>
          <w:rFonts w:eastAsia="Courier New"/>
        </w:rPr>
        <w:instrText xml:space="preserve"> REF _Ref138408769 \h </w:instrText>
      </w:r>
      <w:r w:rsidR="00BA5AE4">
        <w:rPr>
          <w:rFonts w:eastAsia="Courier New"/>
        </w:rPr>
      </w:r>
      <w:r w:rsidR="00BA5AE4">
        <w:rPr>
          <w:rFonts w:eastAsia="Courier New"/>
        </w:rPr>
        <w:fldChar w:fldCharType="separate"/>
      </w:r>
      <w:r w:rsidR="00BE208D">
        <w:t xml:space="preserve">Figure </w:t>
      </w:r>
      <w:r w:rsidR="00BE208D">
        <w:rPr>
          <w:noProof/>
        </w:rPr>
        <w:t>47</w:t>
      </w:r>
      <w:r w:rsidR="00BA5AE4">
        <w:rPr>
          <w:rFonts w:eastAsia="Courier New"/>
        </w:rPr>
        <w:fldChar w:fldCharType="end"/>
      </w:r>
      <w:r w:rsidRPr="0007414B">
        <w:rPr>
          <w:rFonts w:eastAsia="Courier New"/>
        </w:rPr>
        <w:t>). Rates of death were highest for older people: those aged 80 years and over had the highest rate of death, followed by people aged 70–79 years</w:t>
      </w:r>
      <w:r w:rsidRPr="0007414B" w:rsidDel="00464FEA">
        <w:rPr>
          <w:rFonts w:eastAsia="Courier New"/>
        </w:rPr>
        <w:t xml:space="preserve"> </w:t>
      </w:r>
      <w:r w:rsidRPr="0007414B">
        <w:rPr>
          <w:rFonts w:eastAsia="Courier New"/>
        </w:rPr>
        <w:t>(</w:t>
      </w:r>
      <w:r w:rsidRPr="0007414B">
        <w:t>Figure 48</w:t>
      </w:r>
      <w:r w:rsidRPr="0007414B">
        <w:rPr>
          <w:rFonts w:eastAsia="Courier New"/>
        </w:rPr>
        <w:t>).</w:t>
      </w:r>
    </w:p>
    <w:p w14:paraId="088444AF" w14:textId="77777777" w:rsidR="00395CB9" w:rsidRPr="0007414B" w:rsidRDefault="00395CB9" w:rsidP="00395CB9">
      <w:pPr>
        <w:rPr>
          <w:rFonts w:eastAsia="Courier New" w:cs="Segoe UI"/>
        </w:rPr>
      </w:pPr>
    </w:p>
    <w:p w14:paraId="554B9390" w14:textId="77777777" w:rsidR="00395CB9" w:rsidRPr="0007414B" w:rsidRDefault="00395CB9" w:rsidP="00395CB9">
      <w:pPr>
        <w:spacing w:after="160" w:line="259" w:lineRule="auto"/>
        <w:rPr>
          <w:rFonts w:eastAsia="Courier New" w:cs="Segoe UI"/>
        </w:rPr>
      </w:pPr>
      <w:r w:rsidRPr="0007414B">
        <w:rPr>
          <w:rFonts w:eastAsia="Courier New" w:cs="Segoe UI"/>
        </w:rPr>
        <w:br w:type="page"/>
      </w:r>
    </w:p>
    <w:p w14:paraId="4F68D8AC" w14:textId="2D13790A" w:rsidR="00395CB9" w:rsidRPr="0007414B" w:rsidRDefault="00395CB9" w:rsidP="007D0711">
      <w:pPr>
        <w:pStyle w:val="Figure"/>
      </w:pPr>
      <w:bookmarkStart w:id="220" w:name="_Ref131582829"/>
      <w:bookmarkStart w:id="221" w:name="_Toc138326988"/>
      <w:bookmarkStart w:id="222" w:name="_Toc138409969"/>
      <w:r>
        <w:lastRenderedPageBreak/>
        <w:t xml:space="preserve">Figure </w:t>
      </w:r>
      <w:fldSimple w:instr=" SEQ Figure \* ARABIC ">
        <w:r w:rsidR="00BE208D">
          <w:rPr>
            <w:noProof/>
          </w:rPr>
          <w:t>46</w:t>
        </w:r>
      </w:fldSimple>
      <w:bookmarkEnd w:id="220"/>
      <w:r>
        <w:t>: Rate</w:t>
      </w:r>
      <w:r w:rsidDel="00E15A43">
        <w:t xml:space="preserve"> </w:t>
      </w:r>
      <w:r>
        <w:t>of daily COVID-19 cases per 100,000 population, by age group, 2022</w:t>
      </w:r>
      <w:bookmarkEnd w:id="221"/>
      <w:bookmarkEnd w:id="222"/>
    </w:p>
    <w:p w14:paraId="044D24C4" w14:textId="77777777" w:rsidR="00395CB9" w:rsidRPr="0007414B" w:rsidRDefault="00395CB9" w:rsidP="007D0711">
      <w:pPr>
        <w:rPr>
          <w:rFonts w:eastAsia="Courier New" w:cs="Segoe UI"/>
          <w:sz w:val="20"/>
        </w:rPr>
      </w:pPr>
      <w:r w:rsidRPr="0007414B">
        <w:rPr>
          <w:noProof/>
        </w:rPr>
        <w:drawing>
          <wp:inline distT="0" distB="0" distL="0" distR="0" wp14:anchorId="5AA53A92" wp14:editId="33BE8872">
            <wp:extent cx="5128181" cy="5128181"/>
            <wp:effectExtent l="0" t="0" r="0" b="0"/>
            <wp:docPr id="1695314861" name="Picture 1695314861" descr="A line chart showing the rate of daily COVID-19 cases by age group for 2022. In general, there are three peaks throughout the year: in March, July, and December. In the first peak, the 15–24, 25–44, and 5–14-year-old age groups had the highest rates. In the second peak the 45–64, 25–44, and 65+ had the highest rates. In the final peak, the age groups above 14 years old had the highest r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61" name="Picture 1695314861" descr="A line chart showing the rate of daily COVID-19 cases by age group for 2022. In general, there are three peaks throughout the year: in March, July, and December. In the first peak, the 15–24, 25–44, and 5–14-year-old age groups had the highest rates. In the second peak the 45–64, 25–44, and 65+ had the highest rates. In the final peak, the age groups above 14 years old had the highest rates.&#10;"/>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139714" cy="5139714"/>
                    </a:xfrm>
                    <a:prstGeom prst="rect">
                      <a:avLst/>
                    </a:prstGeom>
                  </pic:spPr>
                </pic:pic>
              </a:graphicData>
            </a:graphic>
          </wp:inline>
        </w:drawing>
      </w:r>
    </w:p>
    <w:p w14:paraId="1E88245C" w14:textId="77777777" w:rsidR="00395CB9" w:rsidRPr="007D0711" w:rsidRDefault="00395CB9" w:rsidP="007D0711">
      <w:pPr>
        <w:pStyle w:val="Source"/>
      </w:pPr>
      <w:r w:rsidRPr="007D0711">
        <w:t xml:space="preserve">Source: </w:t>
      </w:r>
      <w:hyperlink r:id="rId130">
        <w:r w:rsidRPr="007D0711">
          <w:rPr>
            <w:rStyle w:val="Hyperlink"/>
          </w:rPr>
          <w:t>Te Whatu Ora (2023e)</w:t>
        </w:r>
      </w:hyperlink>
    </w:p>
    <w:p w14:paraId="67E796E4" w14:textId="77777777" w:rsidR="00395CB9" w:rsidRPr="0007414B" w:rsidRDefault="00395CB9" w:rsidP="007D0711">
      <w:pPr>
        <w:rPr>
          <w:rFonts w:eastAsia="Courier New" w:cs="Segoe UI"/>
          <w:sz w:val="20"/>
        </w:rPr>
      </w:pPr>
    </w:p>
    <w:p w14:paraId="3A948EE2" w14:textId="77777777" w:rsidR="00395CB9" w:rsidRPr="0007414B" w:rsidRDefault="00395CB9" w:rsidP="00395CB9">
      <w:pPr>
        <w:spacing w:after="160" w:line="259" w:lineRule="auto"/>
        <w:rPr>
          <w:rFonts w:eastAsia="Courier New" w:cs="Segoe UI"/>
          <w:color w:val="595959" w:themeColor="text1" w:themeTint="A6"/>
          <w:sz w:val="20"/>
        </w:rPr>
      </w:pPr>
      <w:bookmarkStart w:id="223" w:name="_Ref131582890"/>
      <w:r w:rsidRPr="0007414B">
        <w:rPr>
          <w:rFonts w:cs="Segoe UI"/>
        </w:rPr>
        <w:br w:type="page"/>
      </w:r>
    </w:p>
    <w:p w14:paraId="703A36B6" w14:textId="72828EB3" w:rsidR="00395CB9" w:rsidRPr="0007414B" w:rsidRDefault="00395CB9" w:rsidP="007D0711">
      <w:pPr>
        <w:pStyle w:val="Figure"/>
      </w:pPr>
      <w:bookmarkStart w:id="224" w:name="_Ref138408769"/>
      <w:bookmarkStart w:id="225" w:name="_Toc138326989"/>
      <w:bookmarkStart w:id="226" w:name="_Toc138409970"/>
      <w:r>
        <w:lastRenderedPageBreak/>
        <w:t xml:space="preserve">Figure </w:t>
      </w:r>
      <w:fldSimple w:instr=" SEQ Figure \* ARABIC ">
        <w:r w:rsidR="00BE208D">
          <w:rPr>
            <w:noProof/>
          </w:rPr>
          <w:t>47</w:t>
        </w:r>
      </w:fldSimple>
      <w:bookmarkEnd w:id="223"/>
      <w:bookmarkEnd w:id="224"/>
      <w:r>
        <w:t>: Rate</w:t>
      </w:r>
      <w:r w:rsidDel="0027789C">
        <w:t xml:space="preserve"> </w:t>
      </w:r>
      <w:r>
        <w:t>of COVID-19 hospital admissions per 100,000 population, by age group, 2022</w:t>
      </w:r>
      <w:bookmarkEnd w:id="225"/>
      <w:bookmarkEnd w:id="226"/>
    </w:p>
    <w:p w14:paraId="0451D051" w14:textId="77777777" w:rsidR="00395CB9" w:rsidRPr="0007414B" w:rsidRDefault="00395CB9" w:rsidP="007D0711">
      <w:pPr>
        <w:rPr>
          <w:rFonts w:eastAsia="Courier New" w:cs="Segoe UI"/>
          <w:sz w:val="20"/>
        </w:rPr>
      </w:pPr>
      <w:r w:rsidRPr="0007414B">
        <w:rPr>
          <w:noProof/>
        </w:rPr>
        <w:drawing>
          <wp:inline distT="0" distB="0" distL="0" distR="0" wp14:anchorId="0B1A2F3E" wp14:editId="0B6BA58F">
            <wp:extent cx="5175315" cy="2587658"/>
            <wp:effectExtent l="0" t="0" r="6350" b="3175"/>
            <wp:docPr id="1695314862" name="Picture 1695314862" descr="A line chart showing the rate of daily COVID-19 hospital admissions by age group for 2022. In general, there are three peaks throughout the year: in March, July, and December. For all three peaks, either the &lt;5-year age group or 65+ year age group had the highest hospitalisation admission 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62" name="Picture 1695314862" descr="A line chart showing the rate of daily COVID-19 hospital admissions by age group for 2022. In general, there are three peaks throughout the year: in March, July, and December. For all three peaks, either the &lt;5-year age group or 65+ year age group had the highest hospitalisation admission rate.&#10;"/>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86895" cy="2593448"/>
                    </a:xfrm>
                    <a:prstGeom prst="rect">
                      <a:avLst/>
                    </a:prstGeom>
                  </pic:spPr>
                </pic:pic>
              </a:graphicData>
            </a:graphic>
          </wp:inline>
        </w:drawing>
      </w:r>
    </w:p>
    <w:p w14:paraId="51B171FD" w14:textId="77777777" w:rsidR="00395CB9" w:rsidRPr="007D0711" w:rsidRDefault="00395CB9" w:rsidP="007D0711">
      <w:pPr>
        <w:pStyle w:val="Source"/>
      </w:pPr>
      <w:r w:rsidRPr="007D0711">
        <w:t xml:space="preserve">Source: </w:t>
      </w:r>
      <w:hyperlink r:id="rId132">
        <w:r w:rsidRPr="007D0711">
          <w:rPr>
            <w:rStyle w:val="Hyperlink"/>
          </w:rPr>
          <w:t>Te Whatu Ora (2023e)</w:t>
        </w:r>
      </w:hyperlink>
    </w:p>
    <w:p w14:paraId="1F6EEA74" w14:textId="77777777" w:rsidR="00395CB9" w:rsidRPr="0007414B" w:rsidRDefault="00395CB9" w:rsidP="00395CB9">
      <w:pPr>
        <w:pStyle w:val="Caption"/>
      </w:pPr>
      <w:bookmarkStart w:id="227" w:name="_Ref131582951"/>
    </w:p>
    <w:p w14:paraId="7D251B0F" w14:textId="3F039F10" w:rsidR="00395CB9" w:rsidRPr="0007414B" w:rsidRDefault="00395CB9" w:rsidP="007D0711">
      <w:pPr>
        <w:pStyle w:val="Figure"/>
      </w:pPr>
      <w:bookmarkStart w:id="228" w:name="_Toc138326990"/>
      <w:bookmarkStart w:id="229" w:name="_Toc138409971"/>
      <w:r>
        <w:t xml:space="preserve">Figure </w:t>
      </w:r>
      <w:fldSimple w:instr=" SEQ Figure \* ARABIC ">
        <w:r w:rsidR="00BE208D">
          <w:rPr>
            <w:noProof/>
          </w:rPr>
          <w:t>48</w:t>
        </w:r>
      </w:fldSimple>
      <w:bookmarkEnd w:id="227"/>
      <w:r>
        <w:t>: Rate</w:t>
      </w:r>
      <w:r w:rsidDel="00F179BD">
        <w:t xml:space="preserve"> </w:t>
      </w:r>
      <w:r>
        <w:t>of COVID-19 deaths per 100,000 population, by age group (under 60 years, 60–69, 70–79, 80 and over), 2022</w:t>
      </w:r>
      <w:bookmarkEnd w:id="228"/>
      <w:bookmarkEnd w:id="229"/>
    </w:p>
    <w:p w14:paraId="138C1420" w14:textId="77777777" w:rsidR="00395CB9" w:rsidRPr="0007414B" w:rsidRDefault="00395CB9" w:rsidP="00395CB9">
      <w:r w:rsidRPr="0007414B">
        <w:rPr>
          <w:noProof/>
        </w:rPr>
        <w:drawing>
          <wp:inline distT="0" distB="0" distL="0" distR="0" wp14:anchorId="53E03495" wp14:editId="40750A5C">
            <wp:extent cx="5231876" cy="2615939"/>
            <wp:effectExtent l="0" t="0" r="6985" b="0"/>
            <wp:docPr id="1695314863" name="Picture 1695314863" descr="A line chart showing the rate of daily COVID-19 deaths by age group for 2022. In general, there are three peaks throughout the year: in March, July, and December. The 80+ year age group had the highest death rate throughout the timese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63" name="Picture 1695314863" descr="A line chart showing the rate of daily COVID-19 deaths by age group for 2022. In general, there are three peaks throughout the year: in March, July, and December. The 80+ year age group had the highest death rate throughout the timeseries.&#10;"/>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42940" cy="2621471"/>
                    </a:xfrm>
                    <a:prstGeom prst="rect">
                      <a:avLst/>
                    </a:prstGeom>
                  </pic:spPr>
                </pic:pic>
              </a:graphicData>
            </a:graphic>
          </wp:inline>
        </w:drawing>
      </w:r>
    </w:p>
    <w:p w14:paraId="7FECC4E5" w14:textId="77777777" w:rsidR="00395CB9" w:rsidRPr="007D0711" w:rsidRDefault="00395CB9" w:rsidP="007D0711">
      <w:pPr>
        <w:pStyle w:val="Source"/>
      </w:pPr>
      <w:r w:rsidRPr="007D0711">
        <w:t xml:space="preserve">Source: </w:t>
      </w:r>
      <w:hyperlink r:id="rId134">
        <w:r w:rsidRPr="007D0711">
          <w:rPr>
            <w:rStyle w:val="Hyperlink"/>
          </w:rPr>
          <w:t>Te Whatu Ora (2023e)</w:t>
        </w:r>
      </w:hyperlink>
    </w:p>
    <w:p w14:paraId="7BC3DBCF" w14:textId="77777777" w:rsidR="00395CB9" w:rsidRPr="0007414B" w:rsidRDefault="00395CB9" w:rsidP="00BA5AE4">
      <w:pPr>
        <w:pStyle w:val="Heading3"/>
      </w:pPr>
      <w:r w:rsidRPr="0007414B">
        <w:t>COVID-19 and deprived communities</w:t>
      </w:r>
    </w:p>
    <w:p w14:paraId="23D49FB8" w14:textId="77777777" w:rsidR="00395CB9" w:rsidRPr="0007414B" w:rsidRDefault="00395CB9" w:rsidP="00395CB9">
      <w:pPr>
        <w:rPr>
          <w:shd w:val="clear" w:color="auto" w:fill="FFFFFF"/>
        </w:rPr>
      </w:pPr>
      <w:r w:rsidRPr="0007414B">
        <w:rPr>
          <w:shd w:val="clear" w:color="auto" w:fill="FFFFFF"/>
        </w:rPr>
        <w:t xml:space="preserve">People living in highly deprived areas faced a higher risk from COVID-19 </w:t>
      </w:r>
      <w:r w:rsidRPr="0007414B">
        <w:rPr>
          <w:shd w:val="clear" w:color="auto" w:fill="FFFFFF"/>
        </w:rPr>
        <w:fldChar w:fldCharType="begin"/>
      </w:r>
      <w:r w:rsidRPr="0007414B">
        <w:rPr>
          <w:shd w:val="clear" w:color="auto" w:fill="FFFFFF"/>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07414B">
        <w:rPr>
          <w:shd w:val="clear" w:color="auto" w:fill="FFFFFF"/>
        </w:rPr>
        <w:fldChar w:fldCharType="separate"/>
      </w:r>
      <w:r w:rsidRPr="0007414B">
        <w:rPr>
          <w:shd w:val="clear" w:color="auto" w:fill="FFFFFF"/>
        </w:rPr>
        <w:t>(Te Whatu Ora 2023e)</w:t>
      </w:r>
      <w:r w:rsidRPr="0007414B">
        <w:rPr>
          <w:shd w:val="clear" w:color="auto" w:fill="FFFFFF"/>
        </w:rPr>
        <w:fldChar w:fldCharType="end"/>
      </w:r>
      <w:r w:rsidRPr="0007414B">
        <w:rPr>
          <w:shd w:val="clear" w:color="auto" w:fill="FFFFFF"/>
        </w:rPr>
        <w:t xml:space="preserve">. Those living in the most deprived communities had 2 times the risk of hospitalisation and were 3 times more likely to die from COVID-19 than those who lived in the least deprived communities </w:t>
      </w:r>
      <w:r w:rsidRPr="0007414B">
        <w:rPr>
          <w:shd w:val="clear" w:color="auto" w:fill="FFFFFF"/>
        </w:rPr>
        <w:fldChar w:fldCharType="begin"/>
      </w:r>
      <w:r>
        <w:rPr>
          <w:shd w:val="clear" w:color="auto" w:fill="FFFFFF"/>
        </w:rPr>
        <w:instrText xml:space="preserve"> ADDIN EN.CITE &lt;EndNote&gt;&lt;Cite&gt;&lt;Author&gt;Manatū Hauora&lt;/Author&gt;&lt;Year&gt;2022&lt;/Year&gt;&lt;RecNum&gt;398&lt;/RecNum&gt;&lt;DisplayText&gt;(Manatū Hauora 2022d)&lt;/DisplayText&gt;&lt;record&gt;&lt;rec-number&gt;398&lt;/rec-number&gt;&lt;foreign-keys&gt;&lt;key app="EN" db-id="aaepvppzs5wtfse95vsp2wahsrtvva2vvdet" timestamp="1684724731"&gt;398&lt;/key&gt;&lt;/foreign-keys&gt;&lt;ref-type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trends and insights report&lt;/title&gt;&lt;/titles&gt;&lt;number&gt;18 May 2023&lt;/number&gt;&lt;dates&gt;&lt;year&gt;2022&lt;/year&gt;&lt;/dates&gt;&lt;urls&gt;&lt;related-urls&gt;&lt;url&gt;www.health.govt.nz/system/files/documents/pages/trends-and-insights-report-4nov22.pdf&lt;/url&gt;&lt;/related-urls&gt;&lt;/urls&gt;&lt;/record&gt;&lt;/Cite&gt;&lt;/EndNote&gt;</w:instrText>
      </w:r>
      <w:r w:rsidRPr="0007414B">
        <w:rPr>
          <w:shd w:val="clear" w:color="auto" w:fill="FFFFFF"/>
        </w:rPr>
        <w:fldChar w:fldCharType="separate"/>
      </w:r>
      <w:r w:rsidRPr="0007414B">
        <w:rPr>
          <w:noProof/>
          <w:shd w:val="clear" w:color="auto" w:fill="FFFFFF"/>
        </w:rPr>
        <w:t>(Manatū Hauora 2022d)</w:t>
      </w:r>
      <w:r w:rsidRPr="0007414B">
        <w:rPr>
          <w:shd w:val="clear" w:color="auto" w:fill="FFFFFF"/>
        </w:rPr>
        <w:fldChar w:fldCharType="end"/>
      </w:r>
      <w:r w:rsidRPr="0007414B">
        <w:rPr>
          <w:shd w:val="clear" w:color="auto" w:fill="FFFFFF"/>
        </w:rPr>
        <w:t>.</w:t>
      </w:r>
    </w:p>
    <w:p w14:paraId="2F0011B6" w14:textId="77777777" w:rsidR="00395CB9" w:rsidRPr="0007414B" w:rsidRDefault="00395CB9" w:rsidP="00395CB9">
      <w:pPr>
        <w:rPr>
          <w:rFonts w:cs="Segoe UI"/>
          <w:shd w:val="clear" w:color="auto" w:fill="FFFFFF"/>
        </w:rPr>
      </w:pPr>
    </w:p>
    <w:p w14:paraId="30B451FA" w14:textId="77777777" w:rsidR="00395CB9" w:rsidRPr="0007414B" w:rsidRDefault="00395CB9" w:rsidP="00395CB9">
      <w:pPr>
        <w:pStyle w:val="Heading2"/>
        <w:rPr>
          <w:rFonts w:cs="Segoe UI"/>
        </w:rPr>
      </w:pPr>
      <w:bookmarkStart w:id="230" w:name="_Toc138326938"/>
      <w:bookmarkStart w:id="231" w:name="_Toc139030824"/>
      <w:r w:rsidRPr="0007414B">
        <w:rPr>
          <w:rFonts w:cs="Segoe UI"/>
        </w:rPr>
        <w:lastRenderedPageBreak/>
        <w:t>COVID-19 reinfections</w:t>
      </w:r>
      <w:bookmarkEnd w:id="230"/>
      <w:bookmarkEnd w:id="231"/>
    </w:p>
    <w:p w14:paraId="10B9BC04" w14:textId="77777777" w:rsidR="00395CB9" w:rsidRPr="0007414B" w:rsidRDefault="00395CB9" w:rsidP="00395CB9">
      <w:pPr>
        <w:rPr>
          <w:rFonts w:cs="Segoe UI"/>
          <w:lang w:eastAsia="en-NZ"/>
        </w:rPr>
      </w:pPr>
      <w:r w:rsidRPr="0007414B">
        <w:rPr>
          <w:rFonts w:cs="Segoe UI"/>
          <w:lang w:eastAsia="en-NZ"/>
        </w:rPr>
        <w:t xml:space="preserve">Reinfection with COVID-19 </w:t>
      </w:r>
      <w:r w:rsidRPr="0007414B">
        <w:rPr>
          <w:rFonts w:cs="Segoe UI"/>
        </w:rPr>
        <w:t>means an individual was infected with COVID-19, recovered</w:t>
      </w:r>
      <w:r w:rsidRPr="0007414B" w:rsidDel="009A6695">
        <w:rPr>
          <w:rFonts w:cs="Segoe UI"/>
        </w:rPr>
        <w:t>,</w:t>
      </w:r>
      <w:r w:rsidRPr="0007414B">
        <w:rPr>
          <w:rFonts w:cs="Segoe UI"/>
        </w:rPr>
        <w:t xml:space="preserve"> and then later became infected again</w:t>
      </w:r>
      <w:r w:rsidRPr="0007414B">
        <w:rPr>
          <w:rFonts w:cs="Segoe UI"/>
          <w:lang w:eastAsia="en-NZ"/>
        </w:rPr>
        <w:t xml:space="preserve"> by the same or a different variant </w:t>
      </w:r>
      <w:r w:rsidRPr="0007414B">
        <w:rPr>
          <w:rFonts w:cs="Segoe UI"/>
          <w:lang w:eastAsia="en-NZ"/>
        </w:rPr>
        <w:fldChar w:fldCharType="begin"/>
      </w:r>
      <w:r w:rsidRPr="0007414B">
        <w:rPr>
          <w:rFonts w:cs="Segoe UI"/>
          <w:lang w:eastAsia="en-NZ"/>
        </w:rPr>
        <w:instrText xml:space="preserve"> ADDIN EN.CITE &lt;EndNote&gt;&lt;Cite&gt;&lt;Author&gt;Unite against COVID-19&lt;/Author&gt;&lt;Year&gt;2023&lt;/Year&gt;&lt;RecNum&gt;330&lt;/RecNum&gt;&lt;DisplayText&gt;(Unite against COVID-19 2023)&lt;/DisplayText&gt;&lt;record&gt;&lt;rec-number&gt;330&lt;/rec-number&gt;&lt;foreign-keys&gt;&lt;key app="EN" db-id="aaepvppzs5wtfse95vsp2wahsrtvva2vvdet" timestamp="1683261231"&gt;330&lt;/key&gt;&lt;/foreign-keys&gt;&lt;ref-type name="Web Page"&gt;12&lt;/ref-type&gt;&lt;contributors&gt;&lt;authors&gt;&lt;author&gt;Unite against COVID-19,&lt;/author&gt;&lt;/authors&gt;&lt;/contributors&gt;&lt;titles&gt;&lt;title&gt;After you have had COVID-19&lt;/title&gt;&lt;/titles&gt;&lt;number&gt;5 May 2023&lt;/number&gt;&lt;dates&gt;&lt;year&gt;2023&lt;/year&gt;&lt;/dates&gt;&lt;urls&gt;&lt;related-urls&gt;&lt;url&gt;https://covid19.govt.nz/testing-and-isolation/if-you-have-covid-19/after-you-have-had-covid-19/&lt;/url&gt;&lt;/related-urls&gt;&lt;/urls&gt;&lt;/record&gt;&lt;/Cite&gt;&lt;/EndNote&gt;</w:instrText>
      </w:r>
      <w:r w:rsidRPr="0007414B">
        <w:rPr>
          <w:rFonts w:cs="Segoe UI"/>
          <w:lang w:eastAsia="en-NZ"/>
        </w:rPr>
        <w:fldChar w:fldCharType="separate"/>
      </w:r>
      <w:r w:rsidRPr="0007414B">
        <w:rPr>
          <w:rFonts w:cs="Segoe UI"/>
          <w:lang w:eastAsia="en-NZ"/>
        </w:rPr>
        <w:t>(Unite against COVID-19 2023)</w:t>
      </w:r>
      <w:r w:rsidRPr="0007414B">
        <w:rPr>
          <w:rFonts w:cs="Segoe UI"/>
          <w:lang w:eastAsia="en-NZ"/>
        </w:rPr>
        <w:fldChar w:fldCharType="end"/>
      </w:r>
      <w:r w:rsidRPr="0007414B">
        <w:rPr>
          <w:rFonts w:cs="Segoe UI"/>
          <w:lang w:eastAsia="en-NZ"/>
        </w:rPr>
        <w:t>. People</w:t>
      </w:r>
      <w:r w:rsidRPr="0007414B" w:rsidDel="009A6695">
        <w:rPr>
          <w:rFonts w:cs="Segoe UI"/>
          <w:lang w:eastAsia="en-NZ"/>
        </w:rPr>
        <w:t xml:space="preserve"> </w:t>
      </w:r>
      <w:r w:rsidRPr="0007414B">
        <w:rPr>
          <w:rFonts w:cs="Segoe UI"/>
          <w:lang w:eastAsia="en-NZ"/>
        </w:rPr>
        <w:t xml:space="preserve">become more likely to become reinfected </w:t>
      </w:r>
      <w:r>
        <w:rPr>
          <w:rFonts w:cs="Segoe UI"/>
          <w:lang w:eastAsia="en-NZ"/>
        </w:rPr>
        <w:t>as</w:t>
      </w:r>
      <w:r w:rsidRPr="0007414B">
        <w:rPr>
          <w:rFonts w:cs="Segoe UI"/>
          <w:lang w:eastAsia="en-NZ"/>
        </w:rPr>
        <w:t xml:space="preserve"> time </w:t>
      </w:r>
      <w:r>
        <w:rPr>
          <w:rFonts w:cs="Segoe UI"/>
          <w:lang w:eastAsia="en-NZ"/>
        </w:rPr>
        <w:t>since first infection increased,</w:t>
      </w:r>
      <w:r w:rsidRPr="0007414B">
        <w:rPr>
          <w:rFonts w:cs="Segoe UI"/>
          <w:lang w:eastAsia="en-NZ"/>
        </w:rPr>
        <w:t xml:space="preserve"> </w:t>
      </w:r>
      <w:r>
        <w:rPr>
          <w:rFonts w:cs="Segoe UI"/>
          <w:lang w:eastAsia="en-NZ"/>
        </w:rPr>
        <w:t>due to decreasing</w:t>
      </w:r>
      <w:r w:rsidRPr="0007414B">
        <w:rPr>
          <w:rFonts w:cs="Segoe UI"/>
          <w:lang w:eastAsia="en-NZ"/>
        </w:rPr>
        <w:t xml:space="preserve"> immune response from their previous COVID-19 infection. Reinfection may also become more common as new variants and subvariants spread.</w:t>
      </w:r>
    </w:p>
    <w:p w14:paraId="406E90E9" w14:textId="77777777" w:rsidR="00395CB9" w:rsidRPr="0007414B" w:rsidRDefault="00395CB9" w:rsidP="00395CB9">
      <w:pPr>
        <w:rPr>
          <w:rFonts w:cs="Segoe UI"/>
          <w:lang w:eastAsia="en-NZ"/>
        </w:rPr>
      </w:pPr>
    </w:p>
    <w:p w14:paraId="6CBA21F8" w14:textId="417C9D2F" w:rsidR="00395CB9" w:rsidRPr="0007414B" w:rsidRDefault="00395CB9" w:rsidP="00395CB9">
      <w:pPr>
        <w:rPr>
          <w:rFonts w:cs="Segoe UI"/>
          <w:lang w:eastAsia="en-NZ"/>
        </w:rPr>
      </w:pPr>
      <w:r w:rsidRPr="0007414B">
        <w:rPr>
          <w:rFonts w:cs="Segoe UI"/>
        </w:rPr>
        <w:t xml:space="preserve">In 2022, of the reported COVID-19 cases, 1,988,813 (94.6% of all cases in 2022) were first infections and 112,714 (5.4%) were reinfections. </w:t>
      </w:r>
      <w:r w:rsidRPr="0007414B">
        <w:rPr>
          <w:rFonts w:cs="Segoe UI"/>
          <w:lang w:eastAsia="en-NZ"/>
        </w:rPr>
        <w:fldChar w:fldCharType="begin"/>
      </w:r>
      <w:r w:rsidRPr="0007414B">
        <w:rPr>
          <w:rFonts w:cs="Segoe UI"/>
          <w:lang w:eastAsia="en-NZ"/>
        </w:rPr>
        <w:instrText xml:space="preserve"> REF _Ref131665418 \h  \* MERGEFORMAT </w:instrText>
      </w:r>
      <w:r w:rsidRPr="0007414B">
        <w:rPr>
          <w:rFonts w:cs="Segoe UI"/>
          <w:lang w:eastAsia="en-NZ"/>
        </w:rPr>
      </w:r>
      <w:r w:rsidRPr="0007414B">
        <w:rPr>
          <w:rFonts w:cs="Segoe UI"/>
          <w:lang w:eastAsia="en-NZ"/>
        </w:rPr>
        <w:fldChar w:fldCharType="separate"/>
      </w:r>
      <w:r w:rsidR="00BE208D" w:rsidRPr="00BE208D">
        <w:rPr>
          <w:rFonts w:cs="Segoe UI"/>
        </w:rPr>
        <w:t>Figure 49</w:t>
      </w:r>
      <w:r w:rsidRPr="0007414B">
        <w:rPr>
          <w:rFonts w:cs="Segoe UI"/>
          <w:lang w:eastAsia="en-NZ"/>
        </w:rPr>
        <w:fldChar w:fldCharType="end"/>
      </w:r>
      <w:r w:rsidRPr="0007414B">
        <w:rPr>
          <w:rFonts w:cs="Segoe UI"/>
          <w:lang w:eastAsia="en-NZ"/>
        </w:rPr>
        <w:t xml:space="preserve"> shows that higher percentages of reinfection occurred in younger age groups: those aged 20–29 years had the highest percentage, followed by those aged 30–39 years.</w:t>
      </w:r>
    </w:p>
    <w:p w14:paraId="3BB61371" w14:textId="77777777" w:rsidR="00395CB9" w:rsidRPr="0007414B" w:rsidRDefault="00395CB9" w:rsidP="00395CB9">
      <w:pPr>
        <w:rPr>
          <w:rFonts w:cs="Segoe UI"/>
        </w:rPr>
      </w:pPr>
    </w:p>
    <w:p w14:paraId="5314A2B4" w14:textId="4A1AF0A7" w:rsidR="00395CB9" w:rsidRPr="0007414B" w:rsidRDefault="00395CB9" w:rsidP="007D0711">
      <w:pPr>
        <w:pStyle w:val="Figure"/>
      </w:pPr>
      <w:bookmarkStart w:id="232" w:name="_Ref131665418"/>
      <w:bookmarkStart w:id="233" w:name="_Toc138326991"/>
      <w:bookmarkStart w:id="234" w:name="_Toc138409972"/>
      <w:r>
        <w:t xml:space="preserve">Figure </w:t>
      </w:r>
      <w:fldSimple w:instr=" SEQ Figure \* ARABIC ">
        <w:r w:rsidR="00BE208D">
          <w:rPr>
            <w:noProof/>
          </w:rPr>
          <w:t>49</w:t>
        </w:r>
      </w:fldSimple>
      <w:bookmarkEnd w:id="232"/>
      <w:r>
        <w:t>: Percentage of COVID-19 infections and reinfections, by age group, 2022</w:t>
      </w:r>
      <w:bookmarkEnd w:id="233"/>
      <w:bookmarkEnd w:id="234"/>
    </w:p>
    <w:p w14:paraId="59B2A643" w14:textId="77777777" w:rsidR="00395CB9" w:rsidRPr="0007414B" w:rsidRDefault="00395CB9" w:rsidP="00395CB9">
      <w:pPr>
        <w:rPr>
          <w:rFonts w:cs="Segoe UI"/>
        </w:rPr>
      </w:pPr>
      <w:r w:rsidRPr="0007414B">
        <w:rPr>
          <w:noProof/>
        </w:rPr>
        <w:drawing>
          <wp:inline distT="0" distB="0" distL="0" distR="0" wp14:anchorId="6095006A" wp14:editId="14FA5304">
            <wp:extent cx="5184743" cy="2592371"/>
            <wp:effectExtent l="0" t="0" r="0" b="0"/>
            <wp:docPr id="1695314864" name="Picture 1695314864" descr="A stacked 100% bar chart showing the percentage of COVID-19 reinfections by age group in 2022. Reinfections were highest for those aged 29–29 and lowest for those aged 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4864" name="Picture 1695314864" descr="A stacked 100% bar chart showing the percentage of COVID-19 reinfections by age group in 2022. Reinfections were highest for those aged 29–29 and lowest for those aged 70–79."/>
                    <pic:cNvPicPr/>
                  </pic:nvPicPr>
                  <pic:blipFill>
                    <a:blip r:embed="rId135"/>
                    <a:stretch>
                      <a:fillRect/>
                    </a:stretch>
                  </pic:blipFill>
                  <pic:spPr>
                    <a:xfrm>
                      <a:off x="0" y="0"/>
                      <a:ext cx="5192342" cy="2596170"/>
                    </a:xfrm>
                    <a:prstGeom prst="rect">
                      <a:avLst/>
                    </a:prstGeom>
                  </pic:spPr>
                </pic:pic>
              </a:graphicData>
            </a:graphic>
          </wp:inline>
        </w:drawing>
      </w:r>
    </w:p>
    <w:p w14:paraId="35A12E22" w14:textId="77777777" w:rsidR="00395CB9" w:rsidRPr="007D0711" w:rsidRDefault="00395CB9" w:rsidP="007D0711">
      <w:pPr>
        <w:pStyle w:val="Source"/>
      </w:pPr>
      <w:r w:rsidRPr="007D0711">
        <w:t>Source: Te Whatu Ora (2023) — unpublished data</w:t>
      </w:r>
    </w:p>
    <w:p w14:paraId="06E892E6" w14:textId="77777777" w:rsidR="00395CB9" w:rsidRPr="0007414B" w:rsidRDefault="00395CB9" w:rsidP="00395CB9">
      <w:pPr>
        <w:pStyle w:val="Heading2"/>
        <w:rPr>
          <w:rFonts w:cs="Segoe UI"/>
        </w:rPr>
      </w:pPr>
      <w:bookmarkStart w:id="235" w:name="_Toc138326939"/>
      <w:bookmarkStart w:id="236" w:name="_Toc139030825"/>
      <w:r w:rsidRPr="0007414B">
        <w:rPr>
          <w:rFonts w:cs="Segoe UI"/>
        </w:rPr>
        <w:t>Long COVID</w:t>
      </w:r>
      <w:bookmarkEnd w:id="235"/>
      <w:bookmarkEnd w:id="236"/>
    </w:p>
    <w:p w14:paraId="23583B8D" w14:textId="77777777" w:rsidR="00395CB9" w:rsidRPr="007D0711" w:rsidRDefault="00395CB9" w:rsidP="007D0711">
      <w:pPr>
        <w:rPr>
          <w:color w:val="231F20"/>
          <w:shd w:val="clear" w:color="auto" w:fill="FFFFFF"/>
        </w:rPr>
      </w:pPr>
      <w:r w:rsidRPr="007D0711">
        <w:rPr>
          <w:color w:val="231F20"/>
        </w:rPr>
        <w:t>There is no internationally agreed definition of long COVID. In Aotearoa New Zealand, long COVID is defined as signs and symptoms consistent with</w:t>
      </w:r>
      <w:r w:rsidRPr="007D0711">
        <w:rPr>
          <w:color w:val="231F20"/>
          <w:shd w:val="clear" w:color="auto" w:fill="FFFFFF"/>
        </w:rPr>
        <w:t xml:space="preserve"> COVID-19 that develop during or after an infection, continue for more than 12 weeks and are not explained by an alternative diagnosis </w:t>
      </w:r>
      <w:r w:rsidRPr="007D0711">
        <w:rPr>
          <w:color w:val="231F20"/>
          <w:shd w:val="clear" w:color="auto" w:fill="FFFFFF"/>
        </w:rPr>
        <w:fldChar w:fldCharType="begin"/>
      </w:r>
      <w:r w:rsidRPr="007D0711">
        <w:rPr>
          <w:color w:val="231F20"/>
          <w:shd w:val="clear" w:color="auto" w:fill="FFFFFF"/>
        </w:rPr>
        <w:instrText xml:space="preserve"> ADDIN EN.CITE &lt;EndNote&gt;&lt;Cite&gt;&lt;Author&gt;Manatū Hauora&lt;/Author&gt;&lt;Year&gt;2021&lt;/Year&gt;&lt;RecNum&gt;121&lt;/RecNum&gt;&lt;DisplayText&gt;(Manatū Hauora 2021b)&lt;/DisplayText&gt;&lt;record&gt;&lt;rec-number&gt;121&lt;/rec-number&gt;&lt;foreign-keys&gt;&lt;key app="EN" db-id="aaepvppzs5wtfse95vsp2wahsrtvva2vvdet" timestamp="1634766568"&gt;121&lt;/key&gt;&lt;/foreign-keys&gt;&lt;ref-type name="Web Page"&gt;12&lt;/ref-type&gt;&lt;contributors&gt;&lt;authors&gt;&lt;author&gt;&lt;style face="normal" font="default" size="100%"&gt;Manat&lt;/style&gt;&lt;style face="normal" font="default" charset="238" size="100%"&gt;ū Hauora,&lt;/style&gt;&lt;/author&gt;&lt;/authors&gt;&lt;/contributors&gt;&lt;titles&gt;&lt;title&gt;Long COVID&lt;/title&gt;&lt;/titles&gt;&lt;number&gt;21 October 2021&lt;/number&gt;&lt;dates&gt;&lt;year&gt;2021&lt;/year&gt;&lt;/dates&gt;&lt;urls&gt;&lt;related-urls&gt;&lt;url&gt;www.health.govt.nz/our-work/diseases-and-conditions/covid-19-novel-coronavirus/covid-19-health-advice-public/long-covid&lt;/url&gt;&lt;/related-urls&gt;&lt;/urls&gt;&lt;/record&gt;&lt;/Cite&gt;&lt;/EndNote&gt;</w:instrText>
      </w:r>
      <w:r w:rsidRPr="007D0711">
        <w:rPr>
          <w:color w:val="231F20"/>
          <w:shd w:val="clear" w:color="auto" w:fill="FFFFFF"/>
        </w:rPr>
        <w:fldChar w:fldCharType="separate"/>
      </w:r>
      <w:r w:rsidRPr="007D0711">
        <w:rPr>
          <w:color w:val="231F20"/>
          <w:shd w:val="clear" w:color="auto" w:fill="FFFFFF"/>
        </w:rPr>
        <w:t>(Manatū Hauora 2021b)</w:t>
      </w:r>
      <w:r w:rsidRPr="007D0711">
        <w:rPr>
          <w:color w:val="231F20"/>
          <w:shd w:val="clear" w:color="auto" w:fill="FFFFFF"/>
        </w:rPr>
        <w:fldChar w:fldCharType="end"/>
      </w:r>
      <w:r w:rsidRPr="007D0711">
        <w:rPr>
          <w:color w:val="231F20"/>
          <w:shd w:val="clear" w:color="auto" w:fill="FFFFFF"/>
        </w:rPr>
        <w:t>.</w:t>
      </w:r>
    </w:p>
    <w:p w14:paraId="0AF15A55" w14:textId="77777777" w:rsidR="00395CB9" w:rsidRPr="007D0711" w:rsidRDefault="00395CB9" w:rsidP="007D0711">
      <w:pPr>
        <w:rPr>
          <w:color w:val="231F20"/>
          <w:shd w:val="clear" w:color="auto" w:fill="FFFFFF"/>
        </w:rPr>
      </w:pPr>
    </w:p>
    <w:p w14:paraId="682314A4" w14:textId="77777777" w:rsidR="00395CB9" w:rsidRPr="007D0711" w:rsidRDefault="00395CB9" w:rsidP="007D0711">
      <w:pPr>
        <w:rPr>
          <w:color w:val="231F20"/>
        </w:rPr>
      </w:pPr>
      <w:r w:rsidRPr="007D0711">
        <w:rPr>
          <w:color w:val="231F20"/>
        </w:rPr>
        <w:t xml:space="preserve">Currently, the prevalence of long COVID in Aotearoa New Zealand is unknown. However, the COVID-19 pandemic affected some population groups more than others and long COVID is likely to continue this trend </w:t>
      </w:r>
      <w:r w:rsidRPr="007D0711">
        <w:rPr>
          <w:color w:val="231F20"/>
        </w:rPr>
        <w:fldChar w:fldCharType="begin"/>
      </w:r>
      <w:r w:rsidRPr="007D0711">
        <w:rPr>
          <w:color w:val="231F20"/>
        </w:rPr>
        <w:instrText xml:space="preserve"> ADDIN EN.CITE &lt;EndNote&gt;&lt;Cite&gt;&lt;Author&gt;Manatū Hauora&lt;/Author&gt;&lt;Year&gt;2022&lt;/Year&gt;&lt;RecNum&gt;329&lt;/RecNum&gt;&lt;DisplayText&gt;(Manatū Hauora 2022c)&lt;/DisplayText&gt;&lt;record&gt;&lt;rec-number&gt;329&lt;/rec-number&gt;&lt;foreign-keys&gt;&lt;key app="EN" db-id="aaepvppzs5wtfse95vsp2wahsrtvva2vvdet" timestamp="1683261157"&gt;329&lt;/key&gt;&lt;/foreign-keys&gt;&lt;ref-type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mortality in Aotearoa New Zealand: Inequalities in risk&lt;/title&gt;&lt;/titles&gt;&lt;number&gt;5 May 2023&lt;/number&gt;&lt;dates&gt;&lt;year&gt;2022&lt;/year&gt;&lt;/dates&gt;&lt;urls&gt;&lt;related-urls&gt;&lt;url&gt;www.health.govt.nz/publication/covid-19-mortality-aotearoa-new-zealand-inequities-risk&lt;/url&gt;&lt;/related-urls&gt;&lt;/urls&gt;&lt;/record&gt;&lt;/Cite&gt;&lt;/EndNote&gt;</w:instrText>
      </w:r>
      <w:r w:rsidRPr="007D0711">
        <w:rPr>
          <w:color w:val="231F20"/>
        </w:rPr>
        <w:fldChar w:fldCharType="separate"/>
      </w:r>
      <w:r w:rsidRPr="007D0711">
        <w:rPr>
          <w:color w:val="231F20"/>
        </w:rPr>
        <w:t>(Manatū Hauora 2022c)</w:t>
      </w:r>
      <w:r w:rsidRPr="007D0711">
        <w:rPr>
          <w:color w:val="231F20"/>
        </w:rPr>
        <w:fldChar w:fldCharType="end"/>
      </w:r>
      <w:r w:rsidRPr="007D0711">
        <w:rPr>
          <w:color w:val="231F20"/>
        </w:rPr>
        <w:t xml:space="preserve">. Māori and Pacific peoples made up a higher proportion of COVID-19 cases, as well as having a higher incidence of severe illness requiring hospitalisation </w:t>
      </w:r>
      <w:r w:rsidRPr="007D0711">
        <w:rPr>
          <w:color w:val="231F20"/>
        </w:rPr>
        <w:fldChar w:fldCharType="begin"/>
      </w:r>
      <w:r w:rsidRPr="007D0711">
        <w:rPr>
          <w:color w:val="231F20"/>
        </w:rPr>
        <w:instrText xml:space="preserve"> ADDIN EN.CITE &lt;EndNote&gt;&lt;Cite&gt;&lt;Author&gt;Te Whatu Ora&lt;/Author&gt;&lt;Year&gt;2023&lt;/Year&gt;&lt;RecNum&gt;395&lt;/RecNum&gt;&lt;DisplayText&gt;(Te Whatu Ora 2023e)&lt;/DisplayText&gt;&lt;record&gt;&lt;rec-number&gt;395&lt;/rec-number&gt;&lt;foreign-keys&gt;&lt;key app="EN" db-id="aaepvppzs5wtfse95vsp2wahsrtvva2vvdet" timestamp="1684713029"&gt;395&lt;/key&gt;&lt;/foreign-keys&gt;&lt;ref-type name="Web Page"&gt;12&lt;/ref-type&gt;&lt;contributors&gt;&lt;authors&gt;&lt;author&gt;Te Whatu Ora,&lt;/author&gt;&lt;/authors&gt;&lt;/contributors&gt;&lt;titles&gt;&lt;title&gt;COVID-19 trends and insights&lt;/title&gt;&lt;/titles&gt;&lt;number&gt;28 April 2023&lt;/number&gt;&lt;dates&gt;&lt;year&gt;2023&lt;/year&gt;&lt;/dates&gt;&lt;urls&gt;&lt;related-urls&gt;&lt;url&gt;https://tewhatuora.shinyapps.io/covid19/&lt;/url&gt;&lt;/related-urls&gt;&lt;/urls&gt;&lt;/record&gt;&lt;/Cite&gt;&lt;/EndNote&gt;</w:instrText>
      </w:r>
      <w:r w:rsidRPr="007D0711">
        <w:rPr>
          <w:color w:val="231F20"/>
        </w:rPr>
        <w:fldChar w:fldCharType="separate"/>
      </w:r>
      <w:r w:rsidRPr="007D0711">
        <w:rPr>
          <w:color w:val="231F20"/>
        </w:rPr>
        <w:t>(Te Whatu Ora 2023e)</w:t>
      </w:r>
      <w:r w:rsidRPr="007D0711">
        <w:rPr>
          <w:color w:val="231F20"/>
        </w:rPr>
        <w:fldChar w:fldCharType="end"/>
      </w:r>
      <w:r w:rsidRPr="007D0711">
        <w:rPr>
          <w:color w:val="231F20"/>
        </w:rPr>
        <w:t>. Both of these measures are associated with a higher likelihood of developing long COVID.</w:t>
      </w:r>
    </w:p>
    <w:p w14:paraId="24DBC666" w14:textId="77777777" w:rsidR="00395CB9" w:rsidRPr="007D0711" w:rsidRDefault="00395CB9" w:rsidP="00395CB9">
      <w:pPr>
        <w:rPr>
          <w:color w:val="231F20"/>
        </w:rPr>
      </w:pPr>
    </w:p>
    <w:p w14:paraId="1E570356" w14:textId="77777777" w:rsidR="00395CB9" w:rsidRPr="007D0711" w:rsidRDefault="00395CB9" w:rsidP="007D0711">
      <w:pPr>
        <w:rPr>
          <w:color w:val="231F20"/>
        </w:rPr>
      </w:pPr>
      <w:r w:rsidRPr="007D0711">
        <w:rPr>
          <w:color w:val="231F20"/>
          <w:shd w:val="clear" w:color="auto" w:fill="FFFFFF"/>
        </w:rPr>
        <w:t xml:space="preserve">Vaccination against COVID-19 is considered the most accepted form of protection from long COVID </w:t>
      </w:r>
      <w:r w:rsidRPr="007D0711">
        <w:rPr>
          <w:color w:val="231F20"/>
          <w:shd w:val="clear" w:color="auto" w:fill="FFFFFF"/>
        </w:rPr>
        <w:fldChar w:fldCharType="begin"/>
      </w:r>
      <w:r w:rsidRPr="007D0711">
        <w:rPr>
          <w:color w:val="231F20"/>
          <w:shd w:val="clear" w:color="auto" w:fill="FFFFFF"/>
        </w:rPr>
        <w:instrText xml:space="preserve"> ADDIN EN.CITE &lt;EndNote&gt;&lt;Cite&gt;&lt;Author&gt;Ayoubkhani&lt;/Author&gt;&lt;Year&gt;2022&lt;/Year&gt;&lt;RecNum&gt;332&lt;/RecNum&gt;&lt;DisplayText&gt;(Ayoubkhani et al 2022)&lt;/DisplayText&gt;&lt;record&gt;&lt;rec-number&gt;332&lt;/rec-number&gt;&lt;foreign-keys&gt;&lt;key app="EN" db-id="aaepvppzs5wtfse95vsp2wahsrtvva2vvdet" timestamp="1683261601"&gt;332&lt;/key&gt;&lt;/foreign-keys&gt;&lt;ref-type name="Journal Article"&gt;17&lt;/ref-type&gt;&lt;contributors&gt;&lt;authors&gt;&lt;author&gt;Ayoubkhani, Daniel&lt;/author&gt;&lt;author&gt;Bermingham, Charlotte&lt;/author&gt;&lt;author&gt;Pouwels, Koen B&lt;/author&gt;&lt;author&gt;Glickman, Myer&lt;/author&gt;&lt;author&gt;Nafilyan, Vahe&lt;/author&gt;&lt;author&gt;Zaccardi, Francesco&lt;/author&gt;&lt;author&gt;Khunti, Kamlesh&lt;/author&gt;&lt;author&gt;Alwan, Nisreen A&lt;/author&gt;&lt;author&gt;Walker, A Sarah&lt;/author&gt;&lt;/authors&gt;&lt;/contributors&gt;&lt;titles&gt;&lt;title&gt;Trajectory of long covid symptoms after covid-19 vaccination: community based cohort study&lt;/title&gt;&lt;secondary-title&gt;BMJ&lt;/secondary-title&gt;&lt;/titles&gt;&lt;periodical&gt;&lt;full-title&gt;BMJ&lt;/full-title&gt;&lt;/periodical&gt;&lt;pages&gt;e069676&lt;/pages&gt;&lt;volume&gt;377&lt;/volume&gt;&lt;dates&gt;&lt;year&gt;2022&lt;/year&gt;&lt;/dates&gt;&lt;urls&gt;&lt;related-urls&gt;&lt;url&gt;www.bmj.com/content/377/bmj-2021-069676.abstract&lt;/url&gt;&lt;/related-urls&gt;&lt;/urls&gt;&lt;/record&gt;&lt;/Cite&gt;&lt;/EndNote&gt;</w:instrText>
      </w:r>
      <w:r w:rsidRPr="007D0711">
        <w:rPr>
          <w:color w:val="231F20"/>
          <w:shd w:val="clear" w:color="auto" w:fill="FFFFFF"/>
        </w:rPr>
        <w:fldChar w:fldCharType="separate"/>
      </w:r>
      <w:r w:rsidRPr="007D0711">
        <w:rPr>
          <w:color w:val="231F20"/>
          <w:shd w:val="clear" w:color="auto" w:fill="FFFFFF"/>
        </w:rPr>
        <w:t>(Ayoubkhani et al 2022)</w:t>
      </w:r>
      <w:r w:rsidRPr="007D0711">
        <w:rPr>
          <w:color w:val="231F20"/>
          <w:shd w:val="clear" w:color="auto" w:fill="FFFFFF"/>
        </w:rPr>
        <w:fldChar w:fldCharType="end"/>
      </w:r>
      <w:r w:rsidRPr="007D0711">
        <w:rPr>
          <w:color w:val="231F20"/>
        </w:rPr>
        <w:t>.</w:t>
      </w:r>
    </w:p>
    <w:p w14:paraId="0BBC0378" w14:textId="77777777" w:rsidR="00395CB9" w:rsidRPr="0007414B" w:rsidRDefault="00395CB9" w:rsidP="00395CB9">
      <w:pPr>
        <w:pStyle w:val="Heading2"/>
        <w:rPr>
          <w:rFonts w:cs="Segoe UI"/>
        </w:rPr>
      </w:pPr>
      <w:bookmarkStart w:id="237" w:name="_Toc138326940"/>
      <w:bookmarkStart w:id="238" w:name="_Toc139030826"/>
      <w:r w:rsidRPr="0007414B">
        <w:rPr>
          <w:rFonts w:cs="Segoe UI"/>
        </w:rPr>
        <w:lastRenderedPageBreak/>
        <w:t>COVID-19 vaccinations</w:t>
      </w:r>
      <w:bookmarkEnd w:id="237"/>
      <w:bookmarkEnd w:id="238"/>
    </w:p>
    <w:p w14:paraId="46DDC35F" w14:textId="77777777" w:rsidR="00395CB9" w:rsidRPr="0007414B" w:rsidRDefault="00395CB9" w:rsidP="007D0711">
      <w:pPr>
        <w:rPr>
          <w:color w:val="231F20"/>
          <w:shd w:val="clear" w:color="auto" w:fill="FFFFFF"/>
        </w:rPr>
      </w:pPr>
      <w:r w:rsidRPr="0007414B">
        <w:t xml:space="preserve">COVID-19 vaccinations are offered free for everyone in Aotearoa New Zealand aged 5 years and over, no matter what their visa or citizenship status </w:t>
      </w:r>
      <w:r w:rsidRPr="0007414B">
        <w:fldChar w:fldCharType="begin"/>
      </w:r>
      <w:r>
        <w:instrText xml:space="preserve"> ADDIN EN.CITE &lt;EndNote&gt;&lt;Cite&gt;&lt;Author&gt;Manatū Hauora&lt;/Author&gt;&lt;Year&gt;2023&lt;/Year&gt;&lt;RecNum&gt;397&lt;/RecNum&gt;&lt;DisplayText&gt;(Manatū Hauora 2023e)&lt;/DisplayText&gt;&lt;record&gt;&lt;rec-number&gt;397&lt;/rec-number&gt;&lt;foreign-keys&gt;&lt;key app="EN" db-id="aaepvppzs5wtfse95vsp2wahsrtvva2vvdet" timestamp="1684715352"&gt;397&lt;/key&gt;&lt;/foreign-keys&gt;&lt;ref-type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vaccines&lt;/title&gt;&lt;/titles&gt;&lt;number&gt;18 May 2023&lt;/number&gt;&lt;dates&gt;&lt;year&gt;2023&lt;/year&gt;&lt;/dates&gt;&lt;urls&gt;&lt;related-urls&gt;&lt;url&gt;www.health.govt.nz/covid-19-novel-coronavirus/covid-19-vaccines&lt;/url&gt;&lt;/related-urls&gt;&lt;/urls&gt;&lt;/record&gt;&lt;/Cite&gt;&lt;/EndNote&gt;</w:instrText>
      </w:r>
      <w:r w:rsidRPr="0007414B">
        <w:fldChar w:fldCharType="separate"/>
      </w:r>
      <w:r w:rsidRPr="0007414B">
        <w:rPr>
          <w:noProof/>
        </w:rPr>
        <w:t>(Manatū Hauora 2023e)</w:t>
      </w:r>
      <w:r w:rsidRPr="0007414B">
        <w:fldChar w:fldCharType="end"/>
      </w:r>
      <w:r w:rsidRPr="0007414B">
        <w:t xml:space="preserve">. </w:t>
      </w:r>
      <w:r w:rsidRPr="0007414B">
        <w:rPr>
          <w:shd w:val="clear" w:color="auto" w:fill="FFFFFF"/>
        </w:rPr>
        <w:t xml:space="preserve">Children aged 6 months to 4 years can get the paediatric Pfizer vaccine if they are at higher risk of severe illness from COVID-19. The primary course is 2 doses of the COVID-19 vaccination given 3 to 8 weeks apart </w:t>
      </w:r>
      <w:r w:rsidRPr="0007414B">
        <w:rPr>
          <w:shd w:val="clear" w:color="auto" w:fill="FFFFFF"/>
        </w:rPr>
        <w:fldChar w:fldCharType="begin"/>
      </w:r>
      <w:r>
        <w:rPr>
          <w:shd w:val="clear" w:color="auto" w:fill="FFFFFF"/>
        </w:rPr>
        <w:instrText xml:space="preserve"> ADDIN EN.CITE &lt;EndNote&gt;&lt;Cite&gt;&lt;Author&gt;Manatū Hauora&lt;/Author&gt;&lt;Year&gt;2020&lt;/Year&gt;&lt;RecNum&gt;334&lt;/RecNum&gt;&lt;DisplayText&gt;(Manatū Hauora 2020b)&lt;/DisplayText&gt;&lt;record&gt;&lt;rec-number&gt;334&lt;/rec-number&gt;&lt;foreign-keys&gt;&lt;key app="EN" db-id="aaepvppzs5wtfse95vsp2wahsrtvva2vvdet" timestamp="1683521517"&gt;334&lt;/key&gt;&lt;/foreign-keys&gt;&lt;ref-type name="Web Page"&gt;12&lt;/ref-type&gt;&lt;contributors&gt;&lt;authors&gt;&lt;author&gt;&lt;style face="normal" font="default" size="100%"&gt;Manat&lt;/style&gt;&lt;style face="normal" font="default" charset="238" size="100%"&gt;ū Hauora,&lt;/style&gt;&lt;/author&gt;&lt;/authors&gt;&lt;/contributors&gt;&lt;titles&gt;&lt;title&gt;Immunisation Handbook 2020: Coronavirus disesase (COVID-19)&lt;/title&gt;&lt;/titles&gt;&lt;number&gt;8 May 2023&lt;/number&gt;&lt;dates&gt;&lt;year&gt;2020&lt;/year&gt;&lt;/dates&gt;&lt;urls&gt;&lt;related-urls&gt;&lt;url&gt;www.health.govt.nz/our-work/immunisation-handbook-2020/5-coronavirus-disease-covid-19#23-5&lt;/url&gt;&lt;/related-urls&gt;&lt;/urls&gt;&lt;/record&gt;&lt;/Cite&gt;&lt;/EndNote&gt;</w:instrText>
      </w:r>
      <w:r w:rsidRPr="0007414B">
        <w:rPr>
          <w:shd w:val="clear" w:color="auto" w:fill="FFFFFF"/>
        </w:rPr>
        <w:fldChar w:fldCharType="separate"/>
      </w:r>
      <w:r w:rsidRPr="0007414B">
        <w:rPr>
          <w:noProof/>
          <w:shd w:val="clear" w:color="auto" w:fill="FFFFFF"/>
        </w:rPr>
        <w:t>(Manatū Hauora 2020b)</w:t>
      </w:r>
      <w:r w:rsidRPr="0007414B">
        <w:rPr>
          <w:shd w:val="clear" w:color="auto" w:fill="FFFFFF"/>
        </w:rPr>
        <w:fldChar w:fldCharType="end"/>
      </w:r>
      <w:r w:rsidRPr="0007414B">
        <w:rPr>
          <w:shd w:val="clear" w:color="auto" w:fill="FFFFFF"/>
        </w:rPr>
        <w:t>. A third primary dose is offered to people who are severely immunocompromised and meet eligibility criteria</w:t>
      </w:r>
      <w:r w:rsidRPr="0007414B">
        <w:rPr>
          <w:color w:val="231F20"/>
          <w:shd w:val="clear" w:color="auto" w:fill="FFFFFF"/>
        </w:rPr>
        <w:t xml:space="preserve">.  </w:t>
      </w:r>
    </w:p>
    <w:p w14:paraId="449CF6DE" w14:textId="77777777" w:rsidR="00395CB9" w:rsidRPr="0007414B" w:rsidRDefault="00395CB9" w:rsidP="007D0711">
      <w:pPr>
        <w:rPr>
          <w:color w:val="231F20"/>
          <w:shd w:val="clear" w:color="auto" w:fill="FFFFFF"/>
        </w:rPr>
      </w:pPr>
    </w:p>
    <w:p w14:paraId="54B776F1" w14:textId="77777777" w:rsidR="00395CB9" w:rsidRPr="0007414B" w:rsidRDefault="00395CB9" w:rsidP="007D0711">
      <w:pPr>
        <w:rPr>
          <w:color w:val="231F20"/>
          <w:shd w:val="clear" w:color="auto" w:fill="FFFFFF"/>
        </w:rPr>
      </w:pPr>
      <w:r w:rsidRPr="0007414B">
        <w:rPr>
          <w:color w:val="231F20"/>
          <w:shd w:val="clear" w:color="auto" w:fill="FFFFFF"/>
        </w:rPr>
        <w:t xml:space="preserve">The COVID-19 booster is an additional vaccine dose given after the primary course to boost the immune response to previous antibody levels. Booster doses are available for people aged 16 years and older, and recommended for people aged 30 years and older, or those at increased risk of severe illness from COVID-19 </w:t>
      </w:r>
      <w:r w:rsidRPr="0007414B">
        <w:rPr>
          <w:color w:val="231F20"/>
          <w:shd w:val="clear" w:color="auto" w:fill="FFFFFF"/>
        </w:rPr>
        <w:fldChar w:fldCharType="begin"/>
      </w:r>
      <w:r>
        <w:rPr>
          <w:color w:val="231F20"/>
          <w:shd w:val="clear" w:color="auto" w:fill="FFFFFF"/>
        </w:rPr>
        <w:instrText xml:space="preserve"> ADDIN EN.CITE &lt;EndNote&gt;&lt;Cite&gt;&lt;Author&gt;Manatū Hauora&lt;/Author&gt;&lt;Year&gt;2023&lt;/Year&gt;&lt;RecNum&gt;335&lt;/RecNum&gt;&lt;DisplayText&gt;(Manatū Hauora 2023d)&lt;/DisplayText&gt;&lt;record&gt;&lt;rec-number&gt;335&lt;/rec-number&gt;&lt;foreign-keys&gt;&lt;key app="EN" db-id="aaepvppzs5wtfse95vsp2wahsrtvva2vvdet" timestamp="1683521649"&gt;335&lt;/key&gt;&lt;/foreign-keys&gt;&lt;ref-type name="Web Page"&gt;12&lt;/ref-type&gt;&lt;contributors&gt;&lt;authors&gt;&lt;author&gt;&lt;style face="normal" font="default" size="100%"&gt;Manat&lt;/style&gt;&lt;style face="normal" font="default" charset="238" size="100%"&gt;ū Hauora,&lt;/style&gt;&lt;/author&gt;&lt;/authors&gt;&lt;/contributors&gt;&lt;titles&gt;&lt;title&gt;COVID-19 vaccine booster&lt;/title&gt;&lt;/titles&gt;&lt;number&gt;8 May 2023&lt;/number&gt;&lt;dates&gt;&lt;year&gt;2023&lt;/year&gt;&lt;/dates&gt;&lt;urls&gt;&lt;related-urls&gt;&lt;url&gt;www.healthnavigator.org.nz/medicines/c/covid-19-vaccine-booster/&lt;/url&gt;&lt;/related-urls&gt;&lt;/urls&gt;&lt;/record&gt;&lt;/Cite&gt;&lt;/EndNote&gt;</w:instrText>
      </w:r>
      <w:r w:rsidRPr="0007414B">
        <w:rPr>
          <w:color w:val="231F20"/>
          <w:shd w:val="clear" w:color="auto" w:fill="FFFFFF"/>
        </w:rPr>
        <w:fldChar w:fldCharType="separate"/>
      </w:r>
      <w:r w:rsidRPr="0007414B">
        <w:rPr>
          <w:noProof/>
          <w:color w:val="231F20"/>
          <w:shd w:val="clear" w:color="auto" w:fill="FFFFFF"/>
        </w:rPr>
        <w:t>(Manatū Hauora 2023d)</w:t>
      </w:r>
      <w:r w:rsidRPr="0007414B">
        <w:rPr>
          <w:color w:val="231F20"/>
          <w:shd w:val="clear" w:color="auto" w:fill="FFFFFF"/>
        </w:rPr>
        <w:fldChar w:fldCharType="end"/>
      </w:r>
      <w:r w:rsidRPr="0007414B">
        <w:rPr>
          <w:color w:val="231F20"/>
          <w:shd w:val="clear" w:color="auto" w:fill="FFFFFF"/>
        </w:rPr>
        <w:t>.</w:t>
      </w:r>
    </w:p>
    <w:p w14:paraId="1D5AE2A8" w14:textId="77777777" w:rsidR="00395CB9" w:rsidRPr="0007414B" w:rsidRDefault="00395CB9" w:rsidP="007D0711">
      <w:pPr>
        <w:rPr>
          <w:color w:val="231F20"/>
          <w:shd w:val="clear" w:color="auto" w:fill="FFFFFF"/>
        </w:rPr>
      </w:pPr>
    </w:p>
    <w:p w14:paraId="42B5F81C" w14:textId="384F1140" w:rsidR="00395CB9" w:rsidRPr="0007414B" w:rsidRDefault="00395CB9" w:rsidP="007D0711">
      <w:pPr>
        <w:rPr>
          <w:shd w:val="clear" w:color="auto" w:fill="FFFFFF"/>
        </w:rPr>
      </w:pPr>
      <w:r w:rsidRPr="0007414B">
        <w:rPr>
          <w:shd w:val="clear" w:color="auto" w:fill="FFFFFF"/>
        </w:rPr>
        <w:t>The following graphs show COVID-19 vaccination status as at 31 December 2022, first by ethnic group (</w:t>
      </w:r>
      <w:r w:rsidRPr="0007414B">
        <w:rPr>
          <w:shd w:val="clear" w:color="auto" w:fill="FFFFFF"/>
        </w:rPr>
        <w:fldChar w:fldCharType="begin"/>
      </w:r>
      <w:r w:rsidRPr="0007414B">
        <w:rPr>
          <w:shd w:val="clear" w:color="auto" w:fill="FFFFFF"/>
        </w:rPr>
        <w:instrText xml:space="preserve"> REF _Ref134435171 \h  \* MERGEFORMAT </w:instrText>
      </w:r>
      <w:r w:rsidRPr="0007414B">
        <w:rPr>
          <w:shd w:val="clear" w:color="auto" w:fill="FFFFFF"/>
        </w:rPr>
      </w:r>
      <w:r w:rsidRPr="0007414B">
        <w:rPr>
          <w:shd w:val="clear" w:color="auto" w:fill="FFFFFF"/>
        </w:rPr>
        <w:fldChar w:fldCharType="separate"/>
      </w:r>
      <w:r w:rsidR="00BE208D">
        <w:t>Figure 50</w:t>
      </w:r>
      <w:r w:rsidRPr="0007414B">
        <w:rPr>
          <w:shd w:val="clear" w:color="auto" w:fill="FFFFFF"/>
        </w:rPr>
        <w:fldChar w:fldCharType="end"/>
      </w:r>
      <w:r w:rsidRPr="0007414B">
        <w:rPr>
          <w:shd w:val="clear" w:color="auto" w:fill="FFFFFF"/>
        </w:rPr>
        <w:t>) and then by age group (</w:t>
      </w:r>
      <w:r w:rsidRPr="0007414B">
        <w:rPr>
          <w:shd w:val="clear" w:color="auto" w:fill="FFFFFF"/>
        </w:rPr>
        <w:fldChar w:fldCharType="begin"/>
      </w:r>
      <w:r w:rsidRPr="0007414B">
        <w:rPr>
          <w:shd w:val="clear" w:color="auto" w:fill="FFFFFF"/>
        </w:rPr>
        <w:instrText xml:space="preserve"> REF _Ref134435304 \h  \* MERGEFORMAT </w:instrText>
      </w:r>
      <w:r w:rsidRPr="0007414B">
        <w:rPr>
          <w:shd w:val="clear" w:color="auto" w:fill="FFFFFF"/>
        </w:rPr>
      </w:r>
      <w:r w:rsidRPr="0007414B">
        <w:rPr>
          <w:shd w:val="clear" w:color="auto" w:fill="FFFFFF"/>
        </w:rPr>
        <w:fldChar w:fldCharType="separate"/>
      </w:r>
      <w:r w:rsidR="00BE208D">
        <w:t>Figure 51</w:t>
      </w:r>
      <w:r w:rsidRPr="0007414B">
        <w:rPr>
          <w:shd w:val="clear" w:color="auto" w:fill="FFFFFF"/>
        </w:rPr>
        <w:fldChar w:fldCharType="end"/>
      </w:r>
      <w:r w:rsidRPr="0007414B">
        <w:rPr>
          <w:shd w:val="clear" w:color="auto" w:fill="FFFFFF"/>
        </w:rPr>
        <w:t>).</w:t>
      </w:r>
    </w:p>
    <w:p w14:paraId="59FC2309" w14:textId="77777777" w:rsidR="00395CB9" w:rsidRPr="0007414B" w:rsidRDefault="00395CB9" w:rsidP="00395CB9">
      <w:pPr>
        <w:rPr>
          <w:rFonts w:cs="Segoe UI"/>
        </w:rPr>
      </w:pPr>
    </w:p>
    <w:p w14:paraId="38D8FA72" w14:textId="2C499B3D" w:rsidR="00395CB9" w:rsidRPr="0007414B" w:rsidRDefault="00395CB9" w:rsidP="007D0711">
      <w:pPr>
        <w:pStyle w:val="Figure"/>
      </w:pPr>
      <w:bookmarkStart w:id="239" w:name="_Ref134435171"/>
      <w:bookmarkStart w:id="240" w:name="_Toc138326992"/>
      <w:bookmarkStart w:id="241" w:name="_Toc138409973"/>
      <w:r>
        <w:t xml:space="preserve">Figure </w:t>
      </w:r>
      <w:fldSimple w:instr=" SEQ Figure \* ARABIC ">
        <w:r w:rsidR="00BE208D">
          <w:rPr>
            <w:noProof/>
          </w:rPr>
          <w:t>50</w:t>
        </w:r>
      </w:fldSimple>
      <w:bookmarkEnd w:id="239"/>
      <w:r>
        <w:t>: COVID-19 vaccination status</w:t>
      </w:r>
      <w:r w:rsidDel="007C4199">
        <w:t>,</w:t>
      </w:r>
      <w:r w:rsidDel="00A13837">
        <w:t xml:space="preserve"> </w:t>
      </w:r>
      <w:r>
        <w:t>by ethnic group, as at 31 December 2022</w:t>
      </w:r>
      <w:bookmarkEnd w:id="240"/>
      <w:bookmarkEnd w:id="241"/>
    </w:p>
    <w:p w14:paraId="770CA9A6" w14:textId="77777777" w:rsidR="00395CB9" w:rsidRPr="0007414B" w:rsidRDefault="00395CB9" w:rsidP="00395CB9">
      <w:r>
        <w:rPr>
          <w:noProof/>
        </w:rPr>
        <w:drawing>
          <wp:inline distT="0" distB="0" distL="0" distR="0" wp14:anchorId="112714B6" wp14:editId="4DAB970F">
            <wp:extent cx="5099901" cy="1911849"/>
            <wp:effectExtent l="0" t="0" r="5715" b="0"/>
            <wp:docPr id="40215666" name="Picture 40215666" descr="A line chart showing the rate of daily COVID-19 deaths by age group for 2022. In general, there are three peaks throughout the year: in March, July, and December. The 80+ year age group had the highest death rate throughout the time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5666" name="Picture 40215666" descr="A line chart showing the rate of daily COVID-19 deaths by age group for 2022. In general, there are three peaks throughout the year: in March, July, and December. The 80+ year age group had the highest death rate throughout the timeseries."/>
                    <pic:cNvPicPr/>
                  </pic:nvPicPr>
                  <pic:blipFill>
                    <a:blip r:embed="rId136"/>
                    <a:stretch>
                      <a:fillRect/>
                    </a:stretch>
                  </pic:blipFill>
                  <pic:spPr>
                    <a:xfrm>
                      <a:off x="0" y="0"/>
                      <a:ext cx="5117647" cy="1918502"/>
                    </a:xfrm>
                    <a:prstGeom prst="rect">
                      <a:avLst/>
                    </a:prstGeom>
                  </pic:spPr>
                </pic:pic>
              </a:graphicData>
            </a:graphic>
          </wp:inline>
        </w:drawing>
      </w:r>
    </w:p>
    <w:p w14:paraId="3BD53506" w14:textId="77777777" w:rsidR="00395CB9" w:rsidRPr="0007414B" w:rsidRDefault="00395CB9" w:rsidP="00395CB9">
      <w:pPr>
        <w:rPr>
          <w:rFonts w:cs="Segoe UI"/>
          <w:color w:val="595959" w:themeColor="text1" w:themeTint="A6"/>
          <w:sz w:val="20"/>
        </w:rPr>
      </w:pPr>
      <w:r w:rsidRPr="0007414B">
        <w:rPr>
          <w:rFonts w:cs="Segoe UI"/>
          <w:color w:val="595959" w:themeColor="text1" w:themeTint="A6"/>
          <w:sz w:val="20"/>
        </w:rPr>
        <w:t>Source: Te Whatu Ora (2023) — unpublished data</w:t>
      </w:r>
    </w:p>
    <w:p w14:paraId="7D5FFA6C" w14:textId="77777777" w:rsidR="00395CB9" w:rsidRPr="0007414B" w:rsidRDefault="00395CB9" w:rsidP="00395CB9">
      <w:pPr>
        <w:rPr>
          <w:rFonts w:cs="Segoe UI"/>
        </w:rPr>
      </w:pPr>
    </w:p>
    <w:p w14:paraId="6616F9DE" w14:textId="77777777" w:rsidR="00395CB9" w:rsidRPr="0007414B" w:rsidRDefault="00395CB9" w:rsidP="00395CB9">
      <w:pPr>
        <w:rPr>
          <w:rFonts w:cs="Segoe UI"/>
        </w:rPr>
      </w:pPr>
    </w:p>
    <w:p w14:paraId="1A7CA493" w14:textId="1CDAF654" w:rsidR="00395CB9" w:rsidRPr="0007414B" w:rsidRDefault="00395CB9" w:rsidP="007D0711">
      <w:pPr>
        <w:pStyle w:val="Figure"/>
      </w:pPr>
      <w:bookmarkStart w:id="242" w:name="_Ref134435304"/>
      <w:bookmarkStart w:id="243" w:name="_Toc138326993"/>
      <w:bookmarkStart w:id="244" w:name="_Toc138409974"/>
      <w:r>
        <w:t xml:space="preserve">Figure </w:t>
      </w:r>
      <w:fldSimple w:instr=" SEQ Figure \* ARABIC ">
        <w:r w:rsidR="00BE208D">
          <w:rPr>
            <w:noProof/>
          </w:rPr>
          <w:t>51</w:t>
        </w:r>
      </w:fldSimple>
      <w:bookmarkEnd w:id="242"/>
      <w:r>
        <w:t>: COVID-19 vaccination status</w:t>
      </w:r>
      <w:r w:rsidDel="007C4199">
        <w:t xml:space="preserve">, </w:t>
      </w:r>
      <w:r>
        <w:t>by age group, as at 31 December 2022</w:t>
      </w:r>
      <w:bookmarkEnd w:id="243"/>
      <w:bookmarkEnd w:id="244"/>
    </w:p>
    <w:p w14:paraId="3AC25699" w14:textId="77777777" w:rsidR="00395CB9" w:rsidRPr="0007414B" w:rsidRDefault="00395CB9" w:rsidP="00395CB9">
      <w:r>
        <w:rPr>
          <w:noProof/>
        </w:rPr>
        <w:drawing>
          <wp:inline distT="0" distB="0" distL="0" distR="0" wp14:anchorId="25064269" wp14:editId="59289E80">
            <wp:extent cx="5231877" cy="1961324"/>
            <wp:effectExtent l="0" t="0" r="6985" b="1270"/>
            <wp:docPr id="1958976148" name="Picture 1958976148" descr="A stacked 100% bar chart showing the percentage of COVID-19 reinfections by age group in 2022. Reinfections were highest for those aged 29–29 and lowest for those aged 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6148" name="Picture 1958976148" descr="A stacked 100% bar chart showing the percentage of COVID-19 reinfections by age group in 2022. Reinfections were highest for those aged 29–29 and lowest for those aged 80–89."/>
                    <pic:cNvPicPr/>
                  </pic:nvPicPr>
                  <pic:blipFill>
                    <a:blip r:embed="rId137"/>
                    <a:stretch>
                      <a:fillRect/>
                    </a:stretch>
                  </pic:blipFill>
                  <pic:spPr>
                    <a:xfrm>
                      <a:off x="0" y="0"/>
                      <a:ext cx="5266405" cy="1974268"/>
                    </a:xfrm>
                    <a:prstGeom prst="rect">
                      <a:avLst/>
                    </a:prstGeom>
                  </pic:spPr>
                </pic:pic>
              </a:graphicData>
            </a:graphic>
          </wp:inline>
        </w:drawing>
      </w:r>
    </w:p>
    <w:p w14:paraId="4C80F217" w14:textId="77777777" w:rsidR="00395CB9" w:rsidRPr="007D0711" w:rsidRDefault="00395CB9" w:rsidP="007D0711">
      <w:pPr>
        <w:pStyle w:val="Source"/>
      </w:pPr>
      <w:r w:rsidRPr="007D0711">
        <w:t>Source: Te Whatu Ora (2023n) — unpublished data</w:t>
      </w:r>
    </w:p>
    <w:p w14:paraId="543F22AB" w14:textId="77777777" w:rsidR="00395CB9" w:rsidRPr="0007414B" w:rsidRDefault="00395CB9" w:rsidP="00395CB9">
      <w:pPr>
        <w:pStyle w:val="Heading1"/>
      </w:pPr>
      <w:bookmarkStart w:id="245" w:name="_Toc138326941"/>
      <w:bookmarkStart w:id="246" w:name="_Toc139030827"/>
      <w:r w:rsidRPr="001C4000">
        <w:lastRenderedPageBreak/>
        <w:t>Technical notes</w:t>
      </w:r>
      <w:r>
        <w:t xml:space="preserve"> | Ngā puna raraunga</w:t>
      </w:r>
      <w:bookmarkEnd w:id="245"/>
      <w:bookmarkEnd w:id="246"/>
    </w:p>
    <w:p w14:paraId="1521DC21" w14:textId="77777777" w:rsidR="00395CB9" w:rsidRPr="0007414B" w:rsidRDefault="00395CB9" w:rsidP="00395CB9">
      <w:pPr>
        <w:rPr>
          <w:rStyle w:val="eop"/>
          <w:rFonts w:cs="Segoe UI"/>
          <w:szCs w:val="21"/>
        </w:rPr>
      </w:pPr>
      <w:r w:rsidRPr="0007414B">
        <w:rPr>
          <w:rStyle w:val="normaltextrun"/>
          <w:rFonts w:cs="Segoe UI"/>
          <w:szCs w:val="21"/>
        </w:rPr>
        <w:t>This report contains data from a range of sources, some of them outside Manatū Hauora. Data is available through hyperlinks to sources, where available, or in the accompanying Excel file. The Health and Independence Report aims to include data only when the data collection and analytical processes are robust. Notes are included if methodological information affects the interpretation of the data. We encourage readers to refer to the original data source for further details.</w:t>
      </w:r>
      <w:r w:rsidRPr="0007414B">
        <w:rPr>
          <w:rStyle w:val="eop"/>
          <w:rFonts w:cs="Segoe UI"/>
          <w:szCs w:val="21"/>
        </w:rPr>
        <w:t> </w:t>
      </w:r>
    </w:p>
    <w:p w14:paraId="4F06A7F1" w14:textId="77777777" w:rsidR="00395CB9" w:rsidRPr="0007414B" w:rsidRDefault="00395CB9" w:rsidP="00395CB9">
      <w:pPr>
        <w:rPr>
          <w:rStyle w:val="eop"/>
          <w:rFonts w:cs="Segoe UI"/>
          <w:szCs w:val="21"/>
        </w:rPr>
      </w:pPr>
    </w:p>
    <w:p w14:paraId="4D65AD1B" w14:textId="77777777" w:rsidR="00395CB9" w:rsidRPr="0007414B" w:rsidRDefault="00395CB9" w:rsidP="00395CB9">
      <w:pPr>
        <w:rPr>
          <w:rStyle w:val="eop"/>
          <w:rFonts w:cs="Segoe UI"/>
          <w:szCs w:val="21"/>
        </w:rPr>
      </w:pPr>
      <w:r w:rsidRPr="0007414B">
        <w:rPr>
          <w:rStyle w:val="eop"/>
          <w:rFonts w:cs="Segoe UI"/>
          <w:szCs w:val="21"/>
        </w:rPr>
        <w:t>Alongside this report, we have published data appendices containing otherwise unpublished health data</w:t>
      </w:r>
      <w:r w:rsidRPr="0007414B" w:rsidDel="007A2F7E">
        <w:rPr>
          <w:rStyle w:val="eop"/>
          <w:rFonts w:cs="Segoe UI"/>
          <w:szCs w:val="21"/>
        </w:rPr>
        <w:t xml:space="preserve"> </w:t>
      </w:r>
      <w:r w:rsidRPr="0007414B">
        <w:rPr>
          <w:rStyle w:val="eop"/>
          <w:rFonts w:cs="Segoe UI"/>
          <w:szCs w:val="21"/>
        </w:rPr>
        <w:t xml:space="preserve">that informed this report and the </w:t>
      </w:r>
      <w:r>
        <w:rPr>
          <w:rStyle w:val="eop"/>
          <w:rFonts w:cs="Segoe UI"/>
          <w:szCs w:val="21"/>
        </w:rPr>
        <w:t>P</w:t>
      </w:r>
      <w:r w:rsidRPr="0007414B">
        <w:rPr>
          <w:rStyle w:val="eop"/>
          <w:rFonts w:cs="Segoe UI"/>
          <w:szCs w:val="21"/>
        </w:rPr>
        <w:t xml:space="preserve">ae </w:t>
      </w:r>
      <w:r>
        <w:rPr>
          <w:rStyle w:val="eop"/>
          <w:rFonts w:cs="Segoe UI"/>
          <w:szCs w:val="21"/>
        </w:rPr>
        <w:t>O</w:t>
      </w:r>
      <w:r w:rsidRPr="0007414B">
        <w:rPr>
          <w:rStyle w:val="eop"/>
          <w:rFonts w:cs="Segoe UI"/>
          <w:szCs w:val="21"/>
        </w:rPr>
        <w:t xml:space="preserve">ra </w:t>
      </w:r>
      <w:r>
        <w:rPr>
          <w:rStyle w:val="eop"/>
          <w:rFonts w:cs="Segoe UI"/>
          <w:szCs w:val="21"/>
        </w:rPr>
        <w:t>Health S</w:t>
      </w:r>
      <w:r w:rsidRPr="0007414B">
        <w:rPr>
          <w:rStyle w:val="eop"/>
          <w:rFonts w:cs="Segoe UI"/>
          <w:szCs w:val="21"/>
        </w:rPr>
        <w:t>trategies.</w:t>
      </w:r>
    </w:p>
    <w:p w14:paraId="50AEB581" w14:textId="77777777" w:rsidR="00395CB9" w:rsidRPr="0007414B" w:rsidRDefault="00395CB9" w:rsidP="00395CB9"/>
    <w:p w14:paraId="597607C1" w14:textId="77777777" w:rsidR="00395CB9" w:rsidRPr="0007414B" w:rsidRDefault="00395CB9" w:rsidP="00395CB9">
      <w:pPr>
        <w:rPr>
          <w:rStyle w:val="normaltextrun"/>
          <w:rFonts w:cs="Segoe UI"/>
          <w:szCs w:val="21"/>
        </w:rPr>
      </w:pPr>
      <w:r w:rsidRPr="0007414B">
        <w:rPr>
          <w:rStyle w:val="normaltextrun"/>
          <w:rFonts w:cs="Segoe UI"/>
          <w:szCs w:val="21"/>
        </w:rPr>
        <w:t>All data presented here is the latest available at the time of developing this report from January to April 2023. The time lag between the most recent data and the present day can be substantial. For example, it can involve up to a 3-year delay for mortality data. In such cases, the report may use provisional data.</w:t>
      </w:r>
    </w:p>
    <w:p w14:paraId="2014548D" w14:textId="77777777" w:rsidR="00395CB9" w:rsidRPr="0007414B" w:rsidRDefault="00395CB9" w:rsidP="00395CB9"/>
    <w:p w14:paraId="46FC6C1B" w14:textId="77777777" w:rsidR="00395CB9" w:rsidRPr="0007414B" w:rsidRDefault="00395CB9" w:rsidP="00395CB9">
      <w:pPr>
        <w:rPr>
          <w:rStyle w:val="eop"/>
          <w:rFonts w:cs="Segoe UI"/>
          <w:szCs w:val="21"/>
        </w:rPr>
      </w:pPr>
      <w:r w:rsidRPr="0007414B">
        <w:rPr>
          <w:rStyle w:val="normaltextrun"/>
          <w:rFonts w:cs="Segoe UI"/>
          <w:szCs w:val="21"/>
        </w:rPr>
        <w:t>COVID-19 data was extracted on 17 March 2023. Case, hospitalisation and death figures are subject to change due to the addition of historical cases, updated data sources, methodology changes and updates to population denominators. As a result, the figures included in this report may differ from those previously published.</w:t>
      </w:r>
      <w:r w:rsidRPr="0007414B">
        <w:rPr>
          <w:rStyle w:val="eop"/>
          <w:rFonts w:cs="Segoe UI"/>
          <w:szCs w:val="21"/>
        </w:rPr>
        <w:t> </w:t>
      </w:r>
    </w:p>
    <w:p w14:paraId="5CCC1B34" w14:textId="77777777" w:rsidR="00395CB9" w:rsidRPr="0007414B" w:rsidRDefault="00395CB9" w:rsidP="00395CB9"/>
    <w:p w14:paraId="1D3C7A1A" w14:textId="77777777" w:rsidR="00395CB9" w:rsidRPr="0007414B" w:rsidRDefault="00395CB9" w:rsidP="00395CB9">
      <w:pPr>
        <w:rPr>
          <w:rStyle w:val="eop"/>
          <w:rFonts w:cs="Segoe UI"/>
          <w:szCs w:val="21"/>
        </w:rPr>
      </w:pPr>
      <w:r w:rsidRPr="0007414B">
        <w:rPr>
          <w:rStyle w:val="normaltextrun"/>
          <w:rFonts w:cs="Segoe UI"/>
          <w:szCs w:val="21"/>
        </w:rPr>
        <w:t>COVID-19 deaths are defined as people who died where the cause of death was attributable to COVID-19 (that is, it was coded as an underlying or contributory cause). More recent trends should be interpreted with caution to account for delays in death coding.</w:t>
      </w:r>
      <w:r w:rsidRPr="0007414B">
        <w:rPr>
          <w:rStyle w:val="eop"/>
          <w:rFonts w:cs="Segoe UI"/>
          <w:szCs w:val="21"/>
        </w:rPr>
        <w:t> </w:t>
      </w:r>
    </w:p>
    <w:p w14:paraId="3424F39D" w14:textId="77777777" w:rsidR="00395CB9" w:rsidRPr="0007414B" w:rsidRDefault="00395CB9" w:rsidP="00395CB9">
      <w:pPr>
        <w:pStyle w:val="paragraph"/>
        <w:spacing w:before="0" w:beforeAutospacing="0" w:after="0" w:afterAutospacing="0"/>
        <w:textAlignment w:val="baseline"/>
        <w:rPr>
          <w:rFonts w:ascii="Segoe UI" w:hAnsi="Segoe UI" w:cs="Segoe UI"/>
          <w:sz w:val="21"/>
          <w:szCs w:val="21"/>
        </w:rPr>
      </w:pPr>
    </w:p>
    <w:p w14:paraId="08A2A268" w14:textId="77777777" w:rsidR="00395CB9" w:rsidRPr="0007414B" w:rsidRDefault="00395CB9" w:rsidP="00395CB9">
      <w:r w:rsidRPr="0007414B">
        <w:rPr>
          <w:rStyle w:val="normaltextrun"/>
          <w:rFonts w:cs="Segoe UI"/>
          <w:szCs w:val="21"/>
        </w:rPr>
        <w:t>The Ministry reports COVID-19 hospitalisations using 2 data sets:</w:t>
      </w:r>
      <w:r w:rsidRPr="0007414B">
        <w:rPr>
          <w:rStyle w:val="eop"/>
          <w:rFonts w:cs="Segoe UI"/>
          <w:szCs w:val="21"/>
        </w:rPr>
        <w:t> </w:t>
      </w:r>
    </w:p>
    <w:p w14:paraId="623D377C" w14:textId="77777777" w:rsidR="00395CB9" w:rsidRPr="0007414B" w:rsidRDefault="00395CB9" w:rsidP="009D7A76">
      <w:pPr>
        <w:pStyle w:val="ListNumber"/>
        <w:numPr>
          <w:ilvl w:val="0"/>
          <w:numId w:val="16"/>
        </w:numPr>
        <w:spacing w:before="90"/>
        <w:ind w:left="357" w:hanging="357"/>
        <w:contextualSpacing w:val="0"/>
      </w:pPr>
      <w:r w:rsidRPr="0007414B">
        <w:rPr>
          <w:rStyle w:val="normaltextrun"/>
          <w:rFonts w:cs="Segoe UI"/>
          <w:szCs w:val="21"/>
        </w:rPr>
        <w:t>the Inpatient Admission (IP) data set</w:t>
      </w:r>
      <w:r w:rsidRPr="0007414B">
        <w:rPr>
          <w:rStyle w:val="eop"/>
          <w:rFonts w:cs="Segoe UI"/>
          <w:szCs w:val="21"/>
        </w:rPr>
        <w:t> </w:t>
      </w:r>
    </w:p>
    <w:p w14:paraId="618689BB" w14:textId="77777777" w:rsidR="00395CB9" w:rsidRPr="0007414B" w:rsidRDefault="00395CB9" w:rsidP="009D7A76">
      <w:pPr>
        <w:pStyle w:val="ListNumber"/>
        <w:numPr>
          <w:ilvl w:val="0"/>
          <w:numId w:val="16"/>
        </w:numPr>
        <w:spacing w:before="90"/>
        <w:ind w:left="357" w:hanging="357"/>
        <w:contextualSpacing w:val="0"/>
        <w:rPr>
          <w:rStyle w:val="eop"/>
          <w:rFonts w:cs="Segoe UI"/>
          <w:szCs w:val="21"/>
        </w:rPr>
      </w:pPr>
      <w:r w:rsidRPr="0007414B">
        <w:rPr>
          <w:rStyle w:val="normaltextrun"/>
          <w:rFonts w:cs="Segoe UI"/>
          <w:szCs w:val="21"/>
        </w:rPr>
        <w:t>the National Minimum Dataset (NMDS).</w:t>
      </w:r>
    </w:p>
    <w:p w14:paraId="015EA42D" w14:textId="77777777" w:rsidR="00395CB9" w:rsidRPr="0007414B" w:rsidRDefault="00395CB9" w:rsidP="00395CB9">
      <w:pPr>
        <w:pStyle w:val="paragraph"/>
        <w:spacing w:before="0" w:beforeAutospacing="0" w:after="0" w:afterAutospacing="0"/>
        <w:ind w:left="1080"/>
        <w:textAlignment w:val="baseline"/>
        <w:rPr>
          <w:rFonts w:ascii="Segoe UI" w:hAnsi="Segoe UI" w:cs="Segoe UI"/>
          <w:sz w:val="21"/>
          <w:szCs w:val="21"/>
        </w:rPr>
      </w:pPr>
    </w:p>
    <w:p w14:paraId="26CD12A3" w14:textId="77777777" w:rsidR="00395CB9" w:rsidRPr="0007414B" w:rsidRDefault="00395CB9" w:rsidP="00395CB9">
      <w:pPr>
        <w:rPr>
          <w:rStyle w:val="eop"/>
          <w:rFonts w:cs="Segoe UI"/>
          <w:szCs w:val="21"/>
        </w:rPr>
      </w:pPr>
      <w:r w:rsidRPr="0007414B">
        <w:rPr>
          <w:rStyle w:val="normaltextrun"/>
          <w:rFonts w:cs="Segoe UI"/>
          <w:szCs w:val="21"/>
        </w:rPr>
        <w:t>The NMDS provides more accurate and comprehensive data that covers the whole country, but this data is only available after a significant time lag, usually around 60 days. Over time the hospitalisation data may change, as updated NMDS data becomes available. </w:t>
      </w:r>
      <w:r w:rsidRPr="0007414B">
        <w:rPr>
          <w:rStyle w:val="eop"/>
          <w:rFonts w:cs="Segoe UI"/>
          <w:szCs w:val="21"/>
        </w:rPr>
        <w:t> </w:t>
      </w:r>
    </w:p>
    <w:p w14:paraId="2450CB36" w14:textId="77777777" w:rsidR="00395CB9" w:rsidRPr="0007414B" w:rsidRDefault="00395CB9" w:rsidP="00395CB9"/>
    <w:p w14:paraId="4A90AD59" w14:textId="77777777" w:rsidR="00395CB9" w:rsidRPr="0007414B" w:rsidRDefault="00395CB9" w:rsidP="00395CB9">
      <w:pPr>
        <w:rPr>
          <w:rStyle w:val="eop"/>
          <w:rFonts w:cs="Segoe UI"/>
          <w:szCs w:val="21"/>
        </w:rPr>
      </w:pPr>
      <w:r w:rsidRPr="0007414B">
        <w:rPr>
          <w:rStyle w:val="normaltextrun"/>
          <w:rFonts w:cs="Segoe UI"/>
          <w:szCs w:val="21"/>
        </w:rPr>
        <w:t>The Health Survey provides data on a variety of topics. This report does not cover all of them. </w:t>
      </w:r>
      <w:r w:rsidRPr="0007414B">
        <w:rPr>
          <w:rStyle w:val="eop"/>
          <w:rFonts w:cs="Segoe UI"/>
          <w:szCs w:val="21"/>
        </w:rPr>
        <w:t> </w:t>
      </w:r>
    </w:p>
    <w:p w14:paraId="2B56FF8B" w14:textId="77777777" w:rsidR="00395CB9" w:rsidRPr="0007414B" w:rsidRDefault="00395CB9" w:rsidP="00395CB9"/>
    <w:p w14:paraId="43964F50" w14:textId="77777777" w:rsidR="00395CB9" w:rsidRPr="0007414B" w:rsidRDefault="00395CB9" w:rsidP="00395CB9">
      <w:pPr>
        <w:rPr>
          <w:rStyle w:val="eop"/>
          <w:rFonts w:cs="Segoe UI"/>
          <w:szCs w:val="21"/>
        </w:rPr>
      </w:pPr>
      <w:r w:rsidRPr="0007414B">
        <w:rPr>
          <w:rStyle w:val="normaltextrun"/>
          <w:rFonts w:cs="Segoe UI"/>
          <w:szCs w:val="21"/>
        </w:rPr>
        <w:t xml:space="preserve">Within the ‘Health measures’ section, population health measures are produced using data from the Health Survey. Most Health Survey data is presented as a 3-year rolling average. </w:t>
      </w:r>
      <w:r w:rsidRPr="0007414B">
        <w:rPr>
          <w:rFonts w:eastAsia="Calibri Light"/>
        </w:rPr>
        <w:t>This means that each statistic is averaged across 3 consecutive years of survey data</w:t>
      </w:r>
      <w:r w:rsidRPr="0007414B">
        <w:rPr>
          <w:rStyle w:val="normaltextrun"/>
          <w:rFonts w:cs="Segoe UI"/>
          <w:szCs w:val="21"/>
        </w:rPr>
        <w:t xml:space="preserve"> from 3 Health Survey cycles. For example, data representing the 3-year pooled </w:t>
      </w:r>
      <w:r w:rsidRPr="0007414B">
        <w:rPr>
          <w:rStyle w:val="normaltextrun"/>
          <w:rFonts w:cs="Segoe UI"/>
          <w:szCs w:val="21"/>
        </w:rPr>
        <w:lastRenderedPageBreak/>
        <w:t>period ending 2021/22 contains data from the survey years 2019/20, 2020/21 and 2021/22 (data collected from mid-2019 to mid-2022). </w:t>
      </w:r>
      <w:r w:rsidRPr="0007414B">
        <w:rPr>
          <w:rStyle w:val="eop"/>
          <w:rFonts w:cs="Segoe UI"/>
          <w:szCs w:val="21"/>
        </w:rPr>
        <w:t> </w:t>
      </w:r>
    </w:p>
    <w:p w14:paraId="786D8567" w14:textId="77777777" w:rsidR="00395CB9" w:rsidRPr="0007414B" w:rsidRDefault="00395CB9" w:rsidP="00395CB9">
      <w:pPr>
        <w:pStyle w:val="paragraph"/>
        <w:spacing w:before="0" w:beforeAutospacing="0" w:after="0" w:afterAutospacing="0"/>
        <w:textAlignment w:val="baseline"/>
        <w:rPr>
          <w:rFonts w:ascii="Segoe UI" w:hAnsi="Segoe UI" w:cs="Segoe UI"/>
          <w:sz w:val="21"/>
          <w:szCs w:val="21"/>
        </w:rPr>
      </w:pPr>
    </w:p>
    <w:p w14:paraId="1CA3BC5A" w14:textId="77777777" w:rsidR="00395CB9" w:rsidRPr="0007414B" w:rsidRDefault="00395CB9" w:rsidP="00395CB9">
      <w:pPr>
        <w:rPr>
          <w:rStyle w:val="normaltextrun"/>
          <w:rFonts w:cs="Segoe UI"/>
          <w:szCs w:val="21"/>
        </w:rPr>
      </w:pPr>
      <w:r w:rsidRPr="0007414B">
        <w:rPr>
          <w:rFonts w:eastAsia="Calibri Light"/>
        </w:rPr>
        <w:t>Due to this pooling methodology, Health Survey numbers in this document may be different to numbers published elsewhere. For Health Survey data that is not collected every year, data is presented by survey year rather than 3-year pooled periods and marked accordingly.</w:t>
      </w:r>
    </w:p>
    <w:p w14:paraId="507D8CF4" w14:textId="77777777" w:rsidR="00395CB9" w:rsidRPr="0007414B" w:rsidRDefault="00395CB9" w:rsidP="00395CB9">
      <w:pPr>
        <w:pStyle w:val="paragraph"/>
        <w:spacing w:before="0" w:beforeAutospacing="0" w:after="0" w:afterAutospacing="0"/>
        <w:textAlignment w:val="baseline"/>
        <w:rPr>
          <w:rStyle w:val="normaltextrun"/>
          <w:rFonts w:cs="Segoe UI"/>
          <w:sz w:val="21"/>
          <w:szCs w:val="21"/>
        </w:rPr>
      </w:pPr>
    </w:p>
    <w:p w14:paraId="7B9558AF" w14:textId="47546B0F" w:rsidR="00395CB9" w:rsidRPr="0007414B" w:rsidRDefault="00395CB9" w:rsidP="00395CB9">
      <w:pPr>
        <w:pStyle w:val="Figure"/>
      </w:pPr>
      <w:bookmarkStart w:id="247" w:name="_Ref135815507"/>
      <w:bookmarkStart w:id="248" w:name="_Toc138326994"/>
      <w:bookmarkStart w:id="249" w:name="_Toc138409975"/>
      <w:r w:rsidRPr="0007414B">
        <w:t xml:space="preserve">Figure </w:t>
      </w:r>
      <w:r>
        <w:fldChar w:fldCharType="begin"/>
      </w:r>
      <w:r>
        <w:instrText>SEQ Figure \* ARABIC</w:instrText>
      </w:r>
      <w:r>
        <w:fldChar w:fldCharType="separate"/>
      </w:r>
      <w:r w:rsidR="00BE208D">
        <w:rPr>
          <w:noProof/>
        </w:rPr>
        <w:t>52</w:t>
      </w:r>
      <w:r>
        <w:fldChar w:fldCharType="end"/>
      </w:r>
      <w:bookmarkEnd w:id="247"/>
      <w:r w:rsidRPr="0007414B">
        <w:t>: Health Survey data, 3-year pooled periods</w:t>
      </w:r>
      <w:bookmarkEnd w:id="248"/>
      <w:bookmarkEnd w:id="249"/>
    </w:p>
    <w:p w14:paraId="2B782EEE" w14:textId="77777777" w:rsidR="00395CB9" w:rsidRPr="0007414B" w:rsidRDefault="00395CB9" w:rsidP="00395CB9">
      <w:pPr>
        <w:pStyle w:val="paragraph"/>
        <w:spacing w:before="0" w:beforeAutospacing="0" w:after="0" w:afterAutospacing="0"/>
        <w:textAlignment w:val="baseline"/>
        <w:rPr>
          <w:rStyle w:val="eop"/>
          <w:rFonts w:ascii="Segoe UI" w:hAnsi="Segoe UI" w:cs="Segoe UI"/>
          <w:color w:val="FF0000"/>
          <w:sz w:val="21"/>
          <w:szCs w:val="21"/>
        </w:rPr>
      </w:pPr>
      <w:r w:rsidRPr="0007414B">
        <w:rPr>
          <w:noProof/>
        </w:rPr>
        <w:drawing>
          <wp:inline distT="0" distB="0" distL="0" distR="0" wp14:anchorId="1DFDEEC3" wp14:editId="2B157407">
            <wp:extent cx="5147032" cy="2573517"/>
            <wp:effectExtent l="0" t="0" r="0" b="0"/>
            <wp:docPr id="7" name="Picture 7" descr="A chart showing the relationship between the New Zealand Health Survey year and the 3-year pooled period. For each 3-year pooled period there are three dots indicating which individual survey years are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showing the relationship between the New Zealand Health Survey year and the 3-year pooled period. For each 3-year pooled period there are three dots indicating which individual survey years are included.&#10;"/>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156222" cy="2578112"/>
                    </a:xfrm>
                    <a:prstGeom prst="rect">
                      <a:avLst/>
                    </a:prstGeom>
                  </pic:spPr>
                </pic:pic>
              </a:graphicData>
            </a:graphic>
          </wp:inline>
        </w:drawing>
      </w:r>
    </w:p>
    <w:p w14:paraId="3CAD35F4" w14:textId="77777777" w:rsidR="00395CB9" w:rsidRPr="0007414B" w:rsidRDefault="00395CB9" w:rsidP="00395CB9">
      <w:pPr>
        <w:pStyle w:val="paragraph"/>
        <w:spacing w:before="0" w:beforeAutospacing="0" w:after="0" w:afterAutospacing="0"/>
        <w:textAlignment w:val="baseline"/>
        <w:rPr>
          <w:rFonts w:ascii="Segoe UI" w:hAnsi="Segoe UI" w:cs="Segoe UI"/>
          <w:sz w:val="21"/>
          <w:szCs w:val="21"/>
        </w:rPr>
      </w:pPr>
    </w:p>
    <w:p w14:paraId="5BFBB525" w14:textId="1D7F5DF2" w:rsidR="00395CB9" w:rsidRPr="0007414B" w:rsidRDefault="00395CB9" w:rsidP="00395CB9">
      <w:pPr>
        <w:rPr>
          <w:rStyle w:val="eop"/>
          <w:rFonts w:cs="Segoe UI"/>
          <w:szCs w:val="21"/>
        </w:rPr>
      </w:pPr>
      <w:r w:rsidRPr="0007414B">
        <w:rPr>
          <w:rStyle w:val="normaltextrun"/>
          <w:rFonts w:cs="Segoe UI"/>
          <w:color w:val="FF0000"/>
          <w:szCs w:val="21"/>
        </w:rPr>
        <w:fldChar w:fldCharType="begin"/>
      </w:r>
      <w:r w:rsidRPr="0007414B">
        <w:rPr>
          <w:rStyle w:val="normaltextrun"/>
          <w:rFonts w:cs="Segoe UI"/>
          <w:szCs w:val="21"/>
        </w:rPr>
        <w:instrText xml:space="preserve"> REF _Ref135815507 \h </w:instrText>
      </w:r>
      <w:r w:rsidRPr="0007414B">
        <w:rPr>
          <w:rStyle w:val="normaltextrun"/>
          <w:rFonts w:cs="Segoe UI"/>
          <w:color w:val="FF0000"/>
          <w:szCs w:val="21"/>
        </w:rPr>
        <w:instrText xml:space="preserve"> \* MERGEFORMAT </w:instrText>
      </w:r>
      <w:r w:rsidRPr="0007414B">
        <w:rPr>
          <w:rStyle w:val="normaltextrun"/>
          <w:rFonts w:cs="Segoe UI"/>
          <w:color w:val="FF0000"/>
          <w:szCs w:val="21"/>
        </w:rPr>
      </w:r>
      <w:r w:rsidRPr="0007414B">
        <w:rPr>
          <w:rStyle w:val="normaltextrun"/>
          <w:rFonts w:cs="Segoe UI"/>
          <w:color w:val="FF0000"/>
          <w:szCs w:val="21"/>
        </w:rPr>
        <w:fldChar w:fldCharType="separate"/>
      </w:r>
      <w:r w:rsidR="00BE208D" w:rsidRPr="0007414B">
        <w:t xml:space="preserve">Figure </w:t>
      </w:r>
      <w:r w:rsidR="00BE208D">
        <w:t>52</w:t>
      </w:r>
      <w:r w:rsidRPr="0007414B">
        <w:rPr>
          <w:rStyle w:val="normaltextrun"/>
          <w:rFonts w:cs="Segoe UI"/>
          <w:color w:val="FF0000"/>
          <w:szCs w:val="21"/>
        </w:rPr>
        <w:fldChar w:fldCharType="end"/>
      </w:r>
      <w:r w:rsidRPr="0007414B">
        <w:rPr>
          <w:rStyle w:val="normaltextrun"/>
          <w:rFonts w:cs="Segoe UI"/>
          <w:color w:val="FF0000"/>
          <w:szCs w:val="21"/>
        </w:rPr>
        <w:t xml:space="preserve"> </w:t>
      </w:r>
      <w:r w:rsidRPr="0007414B">
        <w:rPr>
          <w:rStyle w:val="normaltextrun"/>
          <w:rFonts w:cs="Segoe UI"/>
          <w:szCs w:val="21"/>
        </w:rPr>
        <w:t>shows the period of data included for each 3-year pooled period. The data produced for the 3-year pooled periods contains overlapping cycles of data from the Health Survey.</w:t>
      </w:r>
      <w:r w:rsidRPr="0007414B">
        <w:rPr>
          <w:rStyle w:val="eop"/>
          <w:rFonts w:cs="Segoe UI"/>
          <w:szCs w:val="21"/>
        </w:rPr>
        <w:t> </w:t>
      </w:r>
      <w:r w:rsidRPr="0007414B">
        <w:rPr>
          <w:rStyle w:val="normaltextrun"/>
          <w:rFonts w:cs="Segoe UI"/>
          <w:szCs w:val="21"/>
        </w:rPr>
        <w:t>The grouping of data into 3-year pooled periods is important for observing long-term trends among specific subgroups of the population. This is of relevance to the Health and Independence Report, which has a long-term outlook on population trends. The main purpose of presenting pooled data is to improve the sample size for data presented by population groups. This results in more precise estimates of population health and smooths trends over time, making interpretation and discussion of trends easier.</w:t>
      </w:r>
      <w:r w:rsidRPr="0007414B">
        <w:rPr>
          <w:rStyle w:val="eop"/>
          <w:rFonts w:cs="Segoe UI"/>
          <w:szCs w:val="21"/>
        </w:rPr>
        <w:t> </w:t>
      </w:r>
    </w:p>
    <w:p w14:paraId="62612EAC" w14:textId="77777777" w:rsidR="00395CB9" w:rsidRPr="0007414B" w:rsidRDefault="00395CB9" w:rsidP="00395CB9">
      <w:pPr>
        <w:pStyle w:val="paragraph"/>
        <w:spacing w:before="0" w:beforeAutospacing="0" w:after="0" w:afterAutospacing="0"/>
        <w:textAlignment w:val="baseline"/>
        <w:rPr>
          <w:rFonts w:ascii="Segoe UI" w:hAnsi="Segoe UI" w:cs="Segoe UI"/>
          <w:sz w:val="21"/>
          <w:szCs w:val="21"/>
        </w:rPr>
      </w:pPr>
    </w:p>
    <w:p w14:paraId="45485B58" w14:textId="44462DD9" w:rsidR="00395CB9" w:rsidRPr="0007414B" w:rsidRDefault="00395CB9" w:rsidP="00395CB9">
      <w:pPr>
        <w:pStyle w:val="Figure"/>
      </w:pPr>
      <w:bookmarkStart w:id="250" w:name="_Ref135816092"/>
      <w:bookmarkStart w:id="251" w:name="_Toc138326995"/>
      <w:bookmarkStart w:id="252" w:name="_Toc138409976"/>
      <w:r w:rsidRPr="0007414B">
        <w:lastRenderedPageBreak/>
        <w:t xml:space="preserve">Figure </w:t>
      </w:r>
      <w:r>
        <w:fldChar w:fldCharType="begin"/>
      </w:r>
      <w:r>
        <w:instrText>SEQ Figure \* ARABIC</w:instrText>
      </w:r>
      <w:r>
        <w:fldChar w:fldCharType="separate"/>
      </w:r>
      <w:r w:rsidR="00BE208D">
        <w:rPr>
          <w:noProof/>
        </w:rPr>
        <w:t>53</w:t>
      </w:r>
      <w:r>
        <w:fldChar w:fldCharType="end"/>
      </w:r>
      <w:bookmarkEnd w:id="250"/>
      <w:r w:rsidRPr="0007414B">
        <w:t>: Example of trends in daily smoking, based on 3-year pooled data and single survey year data</w:t>
      </w:r>
      <w:bookmarkEnd w:id="251"/>
      <w:bookmarkEnd w:id="252"/>
    </w:p>
    <w:p w14:paraId="03E5172A" w14:textId="77777777" w:rsidR="00395CB9" w:rsidRPr="0007414B" w:rsidRDefault="00395CB9" w:rsidP="00395CB9">
      <w:pPr>
        <w:pStyle w:val="paragraph"/>
        <w:spacing w:before="0" w:beforeAutospacing="0" w:after="0" w:afterAutospacing="0"/>
        <w:textAlignment w:val="baseline"/>
        <w:rPr>
          <w:rStyle w:val="eop"/>
          <w:rFonts w:ascii="Segoe UI" w:hAnsi="Segoe UI" w:cs="Segoe UI"/>
          <w:sz w:val="21"/>
          <w:szCs w:val="21"/>
        </w:rPr>
      </w:pPr>
      <w:r w:rsidRPr="0007414B">
        <w:rPr>
          <w:noProof/>
        </w:rPr>
        <w:drawing>
          <wp:inline distT="0" distB="0" distL="0" distR="0" wp14:anchorId="49718F19" wp14:editId="2AD53385">
            <wp:extent cx="5090474" cy="2545237"/>
            <wp:effectExtent l="0" t="0" r="0" b="7620"/>
            <wp:docPr id="8" name="Picture 8" descr="A chart showing the difference between 3-year pooled data and single survey year for an example dataset, namely the percentage of daily-smokers. The chart shows a decrease in daily smoking rates for both the pooled and single year data; however, the pooled data has smaller error bars, is smoother and lags behind the single survey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showing the difference between 3-year pooled data and single survey year for an example dataset, namely the percentage of daily-smokers. The chart shows a decrease in daily smoking rates for both the pooled and single year data; however, the pooled data has smaller error bars, is smoother and lags behind the single survey year.&#10;"/>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102898" cy="2551449"/>
                    </a:xfrm>
                    <a:prstGeom prst="rect">
                      <a:avLst/>
                    </a:prstGeom>
                  </pic:spPr>
                </pic:pic>
              </a:graphicData>
            </a:graphic>
          </wp:inline>
        </w:drawing>
      </w:r>
    </w:p>
    <w:p w14:paraId="06B651B8" w14:textId="77777777" w:rsidR="00395CB9" w:rsidRPr="0007414B" w:rsidRDefault="00395CB9" w:rsidP="00395CB9">
      <w:pPr>
        <w:pStyle w:val="paragraph"/>
        <w:spacing w:before="0" w:beforeAutospacing="0" w:after="0" w:afterAutospacing="0"/>
        <w:textAlignment w:val="baseline"/>
        <w:rPr>
          <w:rFonts w:ascii="Segoe UI" w:hAnsi="Segoe UI" w:cs="Segoe UI"/>
          <w:sz w:val="21"/>
          <w:szCs w:val="21"/>
        </w:rPr>
      </w:pPr>
      <w:r w:rsidRPr="0007414B">
        <w:rPr>
          <w:rStyle w:val="eop"/>
          <w:rFonts w:ascii="Segoe UI" w:hAnsi="Segoe UI" w:cs="Segoe UI"/>
          <w:sz w:val="21"/>
          <w:szCs w:val="21"/>
        </w:rPr>
        <w:t> </w:t>
      </w:r>
    </w:p>
    <w:p w14:paraId="1B69C0CF" w14:textId="4D49B853" w:rsidR="00395CB9" w:rsidRPr="0007414B" w:rsidRDefault="00395CB9" w:rsidP="00395CB9">
      <w:pPr>
        <w:rPr>
          <w:rStyle w:val="eop"/>
          <w:rFonts w:cs="Segoe UI"/>
          <w:color w:val="000000"/>
          <w:szCs w:val="21"/>
        </w:rPr>
      </w:pPr>
      <w:r w:rsidRPr="0007414B">
        <w:rPr>
          <w:rStyle w:val="normaltextrun"/>
          <w:rFonts w:cs="Segoe UI"/>
          <w:color w:val="FF0000"/>
          <w:szCs w:val="21"/>
        </w:rPr>
        <w:fldChar w:fldCharType="begin"/>
      </w:r>
      <w:r w:rsidRPr="0007414B">
        <w:rPr>
          <w:rStyle w:val="normaltextrun"/>
          <w:rFonts w:cs="Segoe UI"/>
          <w:szCs w:val="21"/>
        </w:rPr>
        <w:instrText xml:space="preserve"> REF _Ref135816092 \h </w:instrText>
      </w:r>
      <w:r w:rsidRPr="0007414B">
        <w:rPr>
          <w:rStyle w:val="normaltextrun"/>
          <w:rFonts w:cs="Segoe UI"/>
          <w:color w:val="FF0000"/>
          <w:szCs w:val="21"/>
        </w:rPr>
        <w:instrText xml:space="preserve"> \* MERGEFORMAT </w:instrText>
      </w:r>
      <w:r w:rsidRPr="0007414B">
        <w:rPr>
          <w:rStyle w:val="normaltextrun"/>
          <w:rFonts w:cs="Segoe UI"/>
          <w:color w:val="FF0000"/>
          <w:szCs w:val="21"/>
        </w:rPr>
      </w:r>
      <w:r w:rsidRPr="0007414B">
        <w:rPr>
          <w:rStyle w:val="normaltextrun"/>
          <w:rFonts w:cs="Segoe UI"/>
          <w:color w:val="FF0000"/>
          <w:szCs w:val="21"/>
        </w:rPr>
        <w:fldChar w:fldCharType="separate"/>
      </w:r>
      <w:r w:rsidR="00BE208D" w:rsidRPr="0007414B">
        <w:t xml:space="preserve">Figure </w:t>
      </w:r>
      <w:r w:rsidR="00BE208D">
        <w:t>53</w:t>
      </w:r>
      <w:r w:rsidRPr="0007414B">
        <w:rPr>
          <w:rStyle w:val="normaltextrun"/>
          <w:rFonts w:cs="Segoe UI"/>
          <w:color w:val="FF0000"/>
          <w:szCs w:val="21"/>
        </w:rPr>
        <w:fldChar w:fldCharType="end"/>
      </w:r>
      <w:r w:rsidRPr="0007414B">
        <w:rPr>
          <w:rStyle w:val="normaltextrun"/>
          <w:rFonts w:cs="Segoe UI"/>
          <w:color w:val="FF0000"/>
          <w:szCs w:val="21"/>
        </w:rPr>
        <w:t xml:space="preserve"> </w:t>
      </w:r>
      <w:r w:rsidRPr="0007414B">
        <w:rPr>
          <w:rStyle w:val="normaltextrun"/>
          <w:rFonts w:cs="Segoe UI"/>
          <w:szCs w:val="21"/>
        </w:rPr>
        <w:t xml:space="preserve">shows an example of trends in daily smoking over time among Māori adults, with data presented by survey year and by the 3-year pooled period ending in the equivalent survey year. We can see the benefits of the 3-year pooled period in the smaller error bars surrounding the estimates and a smoother trend compared with data from individual Health Survey cycles. The main disadvantage of using the 3-year pooled period is that the estimates are older than estimates produced using yearly data. We can see this as a lag effect in the 3-year pooled period data. The data for the 3-year pooled period in this example appears to track behind the single survey year data as the equivalent reductions in smoking seem to occur later. This is because the data for the 3-year pooled period contains data over the previous 3 survey cycle years. For example, data produced for the yearly collection cycle 2021/22 is more up to date than data for the 3-year pooled data period that includes survey years 2019/20, 2020/21 and 2021/22. For the most up-to-date information, you can access annual data from </w:t>
      </w:r>
      <w:r w:rsidRPr="0007414B">
        <w:rPr>
          <w:rStyle w:val="normaltextrun"/>
          <w:rFonts w:cs="Segoe UI"/>
          <w:color w:val="000000" w:themeColor="text1"/>
          <w:szCs w:val="21"/>
        </w:rPr>
        <w:t xml:space="preserve">the </w:t>
      </w:r>
      <w:hyperlink r:id="rId140" w:anchor="!/home">
        <w:r w:rsidRPr="00395CB9">
          <w:rPr>
            <w:rStyle w:val="Hyperlink"/>
          </w:rPr>
          <w:t>Annual Data Explorer</w:t>
        </w:r>
      </w:hyperlink>
      <w:r w:rsidRPr="0007414B">
        <w:t xml:space="preserve"> (Manat</w:t>
      </w:r>
      <w:r w:rsidRPr="0007414B">
        <w:rPr>
          <w:rFonts w:cs="Segoe UI"/>
        </w:rPr>
        <w:t>ū</w:t>
      </w:r>
      <w:r w:rsidRPr="0007414B">
        <w:t xml:space="preserve"> Hauora 2023a)</w:t>
      </w:r>
      <w:r w:rsidRPr="0007414B">
        <w:rPr>
          <w:rStyle w:val="normaltextrun"/>
          <w:rFonts w:cs="Segoe UI"/>
          <w:color w:val="000000" w:themeColor="text1"/>
          <w:szCs w:val="21"/>
        </w:rPr>
        <w:t>.</w:t>
      </w:r>
      <w:r w:rsidRPr="0007414B">
        <w:rPr>
          <w:rStyle w:val="eop"/>
          <w:rFonts w:cs="Segoe UI"/>
          <w:color w:val="000000" w:themeColor="text1"/>
          <w:szCs w:val="21"/>
        </w:rPr>
        <w:t> </w:t>
      </w:r>
    </w:p>
    <w:p w14:paraId="43168B2F" w14:textId="77777777" w:rsidR="00395CB9" w:rsidRPr="0007414B" w:rsidRDefault="00395CB9" w:rsidP="00395CB9">
      <w:pPr>
        <w:pStyle w:val="paragraph"/>
        <w:spacing w:before="0" w:beforeAutospacing="0" w:after="0" w:afterAutospacing="0"/>
        <w:textAlignment w:val="baseline"/>
        <w:rPr>
          <w:rFonts w:ascii="Segoe UI" w:hAnsi="Segoe UI" w:cs="Segoe UI"/>
          <w:sz w:val="21"/>
          <w:szCs w:val="21"/>
        </w:rPr>
      </w:pPr>
    </w:p>
    <w:p w14:paraId="1525A5F1" w14:textId="08E26548" w:rsidR="00395CB9" w:rsidRPr="00395CB9" w:rsidRDefault="00395CB9" w:rsidP="00395CB9">
      <w:r w:rsidRPr="00395CB9">
        <w:t xml:space="preserve">Ethnic group comparisons are based on either prioritised ethnicity or total response ethnicity. With prioritised ethnicity, ethnic groups are mutually exclusive. That is, a person can appear in only one ethnic group, which is generally prioritised in the following order: Māori, Pacific peoples, Asian, other. With total response ethnicity, a person is classified in all of the ethnic groups they identify with. This means that a person can appear in more than one ethnic group. Prioritised ethnicity is often used for analysis based on administrative data (data collected for purposes other than statistics), such as mortality data, while total response ethnicity is shown for Health Survey data. </w:t>
      </w:r>
    </w:p>
    <w:p w14:paraId="605BCED6" w14:textId="77777777" w:rsidR="00395CB9" w:rsidRPr="00395CB9" w:rsidRDefault="00395CB9" w:rsidP="00395CB9">
      <w:pPr>
        <w:rPr>
          <w:rStyle w:val="eop"/>
          <w:rFonts w:cs="Segoe UI"/>
          <w:sz w:val="22"/>
          <w:szCs w:val="22"/>
        </w:rPr>
      </w:pPr>
    </w:p>
    <w:p w14:paraId="3D1AE21A" w14:textId="77777777" w:rsidR="00395CB9" w:rsidRPr="00395CB9" w:rsidRDefault="00395CB9" w:rsidP="00395CB9">
      <w:r w:rsidRPr="00395CB9">
        <w:t xml:space="preserve">Selected results are presented by neighbourhood deprivation, as measured by the New Zealand Index of Deprivation (NZDep2018). This is an area-based measure of socioeconomic deprivation that uses a combination of the following 2018 Census data: household income, receiving a benefit, household crowding, home ownership, employment status, qualifications, support (sole-parent families), living condition (dampness or mould) and household access to the internet. In this report, ‘quintile 5’ means the 20% of small areas in Aotearoa New Zealand that are most socioeconomically deprived. Conversely, ‘quintile 1’ means the 20% of small areas that are least deprived. </w:t>
      </w:r>
    </w:p>
    <w:p w14:paraId="4B60CAAC" w14:textId="77777777" w:rsidR="00395CB9" w:rsidRPr="00395CB9" w:rsidRDefault="00395CB9" w:rsidP="00395CB9">
      <w:pPr>
        <w:rPr>
          <w:rStyle w:val="eop"/>
          <w:rFonts w:cs="Segoe UI"/>
          <w:sz w:val="22"/>
          <w:szCs w:val="22"/>
        </w:rPr>
      </w:pPr>
    </w:p>
    <w:p w14:paraId="5B4C1069" w14:textId="77777777" w:rsidR="00395CB9" w:rsidRPr="00395CB9" w:rsidRDefault="00395CB9" w:rsidP="00395CB9">
      <w:r w:rsidRPr="00395CB9">
        <w:t xml:space="preserve">The report contains population data from Stats NZ population estimates and projections, as well as the Health Service User (HSU) population. These data sources have some important differences. Stats NZ population estimates are estimates of the resident population based on the census and information on births, deaths and migration, and exclude short-term visitors to Aotearoa New Zealand. The HSU measures people who received health services in Aotearoa New Zealand in a given year, including short-term visitors. The HSU does not include people living in Aotearoa New Zealand if they have not interacted with the health system, and were not enrolled with a GP, during the year. As a result of uptake of the COVID-19 vaccination programme starting in 2021, many more people used health services in Aotearoa New Zealand, including non-residents. At a population level, the HSU for 2021 is about 2% higher than Stats NZ’s population estimate for 2021 (Manatū Hauora 2022g). Stats NZ data and Manatū Hauora data also differ in the way they record ethnicity, with the result that HSU totals by ethnic group differ from totals in Stats NZ population estimates and projections.  </w:t>
      </w:r>
    </w:p>
    <w:p w14:paraId="101E6384" w14:textId="77777777" w:rsidR="00395CB9" w:rsidRPr="00395CB9" w:rsidRDefault="00395CB9" w:rsidP="00395CB9"/>
    <w:p w14:paraId="78DC6A7C" w14:textId="45D224A5" w:rsidR="00395CB9" w:rsidRPr="00395CB9" w:rsidRDefault="00395CB9" w:rsidP="00395CB9">
      <w:r w:rsidRPr="00395CB9">
        <w:t xml:space="preserve">Te Whatu Ora and Manatū Hauora use the HSU as the denominator for COVID-19 vaccine uptake rates (Manatū Hauora 2022f). In an independent review of the HSU data, Stats NZ found that it is an appropriate way to measure COVID-19 vaccine coverage (Stats NZ 2022f). The Manatū Hauora response to the Stats NZ recommendations is available on its </w:t>
      </w:r>
      <w:hyperlink r:id="rId141" w:tgtFrame="_blank" w:history="1">
        <w:r w:rsidRPr="00395CB9">
          <w:rPr>
            <w:rStyle w:val="Hyperlink"/>
          </w:rPr>
          <w:t>website</w:t>
        </w:r>
      </w:hyperlink>
      <w:r w:rsidRPr="00395CB9">
        <w:rPr>
          <w:b/>
        </w:rPr>
        <w:t xml:space="preserve"> </w:t>
      </w:r>
      <w:r w:rsidRPr="00395CB9">
        <w:t xml:space="preserve">(Manatū Hauora 2022m). The main rationale for using the HSU as a population denominator for health statistics, rather than data from Stats NZ, is to combat numerator-denominator bias. This happens when the demographics about a person in the numerator are different from those in the denominator. For example, numerator-denominator bias would occur by calculating vaccination coverage for Māori with COVID-19 vaccination data as the numerator and Stats NZ population estimates as the denominator. Bias occurs because the ethnic groups with which someone identifies can be different in health data — in this case, in the COVID-19 Immunisation Register — and Stats NZ population estimates.  </w:t>
      </w:r>
    </w:p>
    <w:p w14:paraId="3AEE0558" w14:textId="77777777" w:rsidR="00395CB9" w:rsidRPr="00395CB9" w:rsidRDefault="00395CB9" w:rsidP="00395CB9">
      <w:pPr>
        <w:rPr>
          <w:rStyle w:val="eop"/>
          <w:rFonts w:cs="Segoe UI"/>
          <w:sz w:val="22"/>
          <w:szCs w:val="22"/>
        </w:rPr>
      </w:pPr>
    </w:p>
    <w:p w14:paraId="584FC2D4" w14:textId="3AE2049E" w:rsidR="00395CB9" w:rsidRPr="00395CB9" w:rsidRDefault="00395CB9" w:rsidP="00395CB9">
      <w:r w:rsidRPr="00395CB9">
        <w:t xml:space="preserve">When possible, this Health and Independence Report includes statistically significant differences between population groups and, when relevant, trends over time. In many comparisons, the results have been adjusted or standardised for factors that may influence (confound) the comparison, such as age and gender. This report often uses age standardisation to account for differences in age structure between population groups and over time </w:t>
      </w:r>
      <w:r w:rsidRPr="00395CB9">
        <w:fldChar w:fldCharType="begin"/>
      </w:r>
      <w:r w:rsidRPr="00395CB9">
        <w:instrText xml:space="preserve"> ADDIN EN.CITE &lt;EndNote&gt;&lt;Cite&gt;&lt;Author&gt;Manatū Hauora&lt;/Author&gt;&lt;Year&gt;2022&lt;/Year&gt;&lt;RecNum&gt;288&lt;/RecNum&gt;&lt;DisplayText&gt;(Manatū Hauora 2022i)&lt;/DisplayText&gt;&lt;record&gt;&lt;rec-number&gt;288&lt;/rec-number&gt;&lt;foreign-keys&gt;&lt;key app="EN" db-id="aaepvppzs5wtfse95vsp2wahsrtvva2vvdet" timestamp="1683250326"&gt;288&lt;/key&gt;&lt;/foreign-keys&gt;&lt;ref-type name="Web Page"&gt;12&lt;/ref-type&gt;&lt;contributors&gt;&lt;authors&gt;&lt;author&gt;&lt;style face="normal" font="default" size="100%"&gt;Manat&lt;/style&gt;&lt;style face="normal" font="default" charset="238" size="100%"&gt;ū Hauora,&lt;/style&gt;&lt;/author&gt;&lt;/authors&gt;&lt;/contributors&gt;&lt;titles&gt;&lt;title&gt;Methodology Report 2021/22: New Zealand Health Survey&lt;/title&gt;&lt;/titles&gt;&lt;number&gt;5 May 2023&lt;/number&gt;&lt;dates&gt;&lt;year&gt;2022&lt;/year&gt;&lt;/dates&gt;&lt;urls&gt;&lt;related-urls&gt;&lt;url&gt;www.health.govt.nz/system/files/documents/publications/methodology_report_2021_22-_new_zealand_health_survey_11_nov.pdf&lt;/url&gt;&lt;/related-urls&gt;&lt;/urls&gt;&lt;/record&gt;&lt;/Cite&gt;&lt;/EndNote&gt;</w:instrText>
      </w:r>
      <w:r w:rsidRPr="00395CB9">
        <w:fldChar w:fldCharType="separate"/>
      </w:r>
      <w:r w:rsidRPr="00395CB9">
        <w:t>(Manatū Hauora 2022i)</w:t>
      </w:r>
      <w:r w:rsidRPr="00395CB9">
        <w:fldChar w:fldCharType="end"/>
      </w:r>
      <w:r w:rsidRPr="00395CB9">
        <w:t>.</w:t>
      </w:r>
    </w:p>
    <w:p w14:paraId="71173E7D" w14:textId="06F23242" w:rsidR="00395CB9" w:rsidRPr="0007414B" w:rsidRDefault="00395CB9" w:rsidP="00395CB9">
      <w:pPr>
        <w:rPr>
          <w:sz w:val="18"/>
          <w:szCs w:val="18"/>
        </w:rPr>
      </w:pPr>
    </w:p>
    <w:p w14:paraId="23C543F0" w14:textId="77777777" w:rsidR="00395CB9" w:rsidRPr="0007414B" w:rsidRDefault="00395CB9" w:rsidP="00395CB9">
      <w:pPr>
        <w:spacing w:after="160" w:line="259" w:lineRule="auto"/>
        <w:rPr>
          <w:rFonts w:eastAsiaTheme="majorEastAsia" w:cs="Segoe UI"/>
          <w:color w:val="365F91" w:themeColor="accent1" w:themeShade="BF"/>
          <w:sz w:val="32"/>
          <w:szCs w:val="32"/>
        </w:rPr>
      </w:pPr>
      <w:r w:rsidRPr="0007414B">
        <w:rPr>
          <w:rFonts w:cs="Segoe UI"/>
        </w:rPr>
        <w:br w:type="page"/>
      </w:r>
    </w:p>
    <w:p w14:paraId="7F16C8D4" w14:textId="4AF0A187" w:rsidR="009A42D5" w:rsidRDefault="009A42D5" w:rsidP="00553165">
      <w:pPr>
        <w:pStyle w:val="Heading1"/>
        <w:pageBreakBefore/>
        <w:spacing w:before="0"/>
      </w:pPr>
      <w:bookmarkStart w:id="253" w:name="_bookmark70"/>
      <w:bookmarkStart w:id="254" w:name="_Toc139030828"/>
      <w:bookmarkEnd w:id="253"/>
      <w:r w:rsidRPr="00CF60ED">
        <w:lastRenderedPageBreak/>
        <w:t>References</w:t>
      </w:r>
      <w:r w:rsidR="00237131">
        <w:t xml:space="preserve"> | Ngā </w:t>
      </w:r>
      <w:r w:rsidR="005D0115">
        <w:t>t</w:t>
      </w:r>
      <w:r w:rsidR="00237131">
        <w:t>ohutoro</w:t>
      </w:r>
      <w:bookmarkEnd w:id="254"/>
    </w:p>
    <w:p w14:paraId="795A6B01" w14:textId="77777777" w:rsidR="00041EF7" w:rsidRPr="00D079D8" w:rsidRDefault="00041EF7" w:rsidP="00CC5B79">
      <w:pPr>
        <w:pStyle w:val="References"/>
        <w:rPr>
          <w:sz w:val="20"/>
        </w:rPr>
      </w:pPr>
      <w:r w:rsidRPr="00D079D8">
        <w:rPr>
          <w:rFonts w:eastAsia="Calibri"/>
          <w:sz w:val="20"/>
          <w:lang w:eastAsia="en-US"/>
        </w:rPr>
        <w:fldChar w:fldCharType="begin"/>
      </w:r>
      <w:r w:rsidRPr="00D079D8">
        <w:rPr>
          <w:rFonts w:eastAsia="Calibri"/>
          <w:sz w:val="20"/>
          <w:lang w:eastAsia="en-US"/>
        </w:rPr>
        <w:instrText xml:space="preserve"> ADDIN EN.REFLIST </w:instrText>
      </w:r>
      <w:r w:rsidRPr="00D079D8">
        <w:rPr>
          <w:rFonts w:eastAsia="Calibri"/>
          <w:sz w:val="20"/>
          <w:lang w:eastAsia="en-US"/>
        </w:rPr>
        <w:fldChar w:fldCharType="separate"/>
      </w:r>
      <w:r w:rsidRPr="00D079D8">
        <w:rPr>
          <w:sz w:val="20"/>
        </w:rPr>
        <w:t xml:space="preserve">Action for Smokefree 2025. 2023. ASH Year 10 Snapshot Survey. URL: </w:t>
      </w:r>
      <w:hyperlink r:id="rId142" w:history="1">
        <w:r w:rsidRPr="00D079D8">
          <w:rPr>
            <w:rStyle w:val="Hyperlink"/>
            <w:sz w:val="20"/>
          </w:rPr>
          <w:t>www.ash.org.nz/ash_year_10</w:t>
        </w:r>
      </w:hyperlink>
      <w:r w:rsidRPr="00D079D8">
        <w:rPr>
          <w:sz w:val="20"/>
        </w:rPr>
        <w:t xml:space="preserve"> (accessed 28 April 2023).</w:t>
      </w:r>
    </w:p>
    <w:p w14:paraId="40E65949" w14:textId="77777777" w:rsidR="00041EF7" w:rsidRPr="00D079D8" w:rsidRDefault="00041EF7" w:rsidP="00CC5B79">
      <w:pPr>
        <w:pStyle w:val="References"/>
        <w:rPr>
          <w:sz w:val="20"/>
        </w:rPr>
      </w:pPr>
      <w:r w:rsidRPr="00D079D8">
        <w:rPr>
          <w:sz w:val="20"/>
        </w:rPr>
        <w:t xml:space="preserve">Atkinson J, Salmond C, Crampton P. 2020. NZDep2018 Index of Deprivation. URL: </w:t>
      </w:r>
      <w:hyperlink r:id="rId143" w:history="1">
        <w:r w:rsidRPr="00D079D8">
          <w:rPr>
            <w:rStyle w:val="Hyperlink"/>
            <w:sz w:val="20"/>
          </w:rPr>
          <w:t>www.otago.ac.nz/wellington/otago823833.pdf</w:t>
        </w:r>
      </w:hyperlink>
      <w:r w:rsidRPr="00D079D8">
        <w:rPr>
          <w:sz w:val="20"/>
        </w:rPr>
        <w:t xml:space="preserve"> (accessed 5 May 2023).</w:t>
      </w:r>
    </w:p>
    <w:p w14:paraId="64C20FCF" w14:textId="77777777" w:rsidR="00041EF7" w:rsidRPr="00D079D8" w:rsidRDefault="00041EF7" w:rsidP="00CC5B79">
      <w:pPr>
        <w:pStyle w:val="References"/>
        <w:rPr>
          <w:sz w:val="20"/>
        </w:rPr>
      </w:pPr>
      <w:r w:rsidRPr="00D079D8">
        <w:rPr>
          <w:sz w:val="20"/>
        </w:rPr>
        <w:t>Ayoubkhani D, Bermingham C, Pouwels KB, et al. 2022. Trajectory of long covid symptoms after covid-19 vaccination: community based cohort study. BMJ 377: e069676.</w:t>
      </w:r>
    </w:p>
    <w:p w14:paraId="1396CC9F"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Cornwall J, Davey JA. 2004. </w:t>
      </w:r>
      <w:r w:rsidRPr="00D079D8">
        <w:rPr>
          <w:rFonts w:eastAsia="Calibri" w:cs="Segoe UI"/>
          <w:i/>
          <w:noProof/>
          <w:sz w:val="20"/>
          <w:lang w:val="en-US" w:eastAsia="en-US"/>
        </w:rPr>
        <w:t>Impact of population ageing in New Zealand on the demand for health and disability support services, and workforce implications</w:t>
      </w:r>
      <w:r w:rsidRPr="00D079D8">
        <w:rPr>
          <w:rFonts w:eastAsia="Calibri" w:cs="Segoe UI"/>
          <w:noProof/>
          <w:sz w:val="20"/>
          <w:lang w:val="en-US" w:eastAsia="en-US"/>
        </w:rPr>
        <w:t xml:space="preserve">. URL: </w:t>
      </w:r>
      <w:hyperlink r:id="rId144" w:history="1">
        <w:r w:rsidRPr="00D079D8">
          <w:rPr>
            <w:rStyle w:val="Hyperlink"/>
            <w:rFonts w:eastAsia="Calibri"/>
            <w:sz w:val="20"/>
          </w:rPr>
          <w:t>www.health.govt.nz/system/files/documents/publications/cornwallanddavey.pdf</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4E9ABEFE"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Coronial Services of New Zealand. 2022. </w:t>
      </w:r>
      <w:r w:rsidRPr="00D079D8">
        <w:rPr>
          <w:rFonts w:eastAsia="Calibri" w:cs="Segoe UI"/>
          <w:i/>
          <w:noProof/>
          <w:sz w:val="20"/>
          <w:lang w:val="en-US" w:eastAsia="en-US"/>
        </w:rPr>
        <w:t>Deputy chief coroner releases annual provisional suicide statistics</w:t>
      </w:r>
      <w:r w:rsidRPr="00D079D8">
        <w:rPr>
          <w:rFonts w:eastAsia="Calibri" w:cs="Segoe UI"/>
          <w:noProof/>
          <w:sz w:val="20"/>
          <w:lang w:val="en-US" w:eastAsia="en-US"/>
        </w:rPr>
        <w:t xml:space="preserve">. URL: </w:t>
      </w:r>
      <w:hyperlink r:id="rId145" w:history="1">
        <w:r w:rsidRPr="00D079D8">
          <w:rPr>
            <w:rStyle w:val="Hyperlink"/>
            <w:rFonts w:eastAsia="Calibri"/>
            <w:sz w:val="20"/>
          </w:rPr>
          <w:t>https://coronialservices.justice.govt.nz/assets/Media-release-Deputy-Chief-Coroner-251022.pdf</w:t>
        </w:r>
      </w:hyperlink>
      <w:r w:rsidRPr="00D079D8">
        <w:rPr>
          <w:rFonts w:eastAsia="Calibri" w:cs="Segoe UI"/>
          <w:noProof/>
          <w:sz w:val="20"/>
          <w:lang w:val="en-US" w:eastAsia="en-US"/>
        </w:rPr>
        <w:t xml:space="preserve"> (accessed 5 May 2023).</w:t>
      </w:r>
    </w:p>
    <w:p w14:paraId="45E8997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Department of the Prime Minister and Cabinet. 2021. </w:t>
      </w:r>
      <w:r w:rsidRPr="00D079D8">
        <w:rPr>
          <w:rFonts w:eastAsia="Calibri" w:cs="Segoe UI"/>
          <w:i/>
          <w:noProof/>
          <w:sz w:val="20"/>
          <w:lang w:val="en-US" w:eastAsia="en-US"/>
        </w:rPr>
        <w:t>Our health and disability system</w:t>
      </w:r>
      <w:r w:rsidRPr="00D079D8">
        <w:rPr>
          <w:rFonts w:eastAsia="Calibri" w:cs="Segoe UI"/>
          <w:noProof/>
          <w:sz w:val="20"/>
          <w:lang w:val="en-US" w:eastAsia="en-US"/>
        </w:rPr>
        <w:t xml:space="preserve">. URL: </w:t>
      </w:r>
      <w:hyperlink r:id="rId146" w:history="1">
        <w:r w:rsidRPr="00D079D8">
          <w:rPr>
            <w:rStyle w:val="Hyperlink"/>
            <w:rFonts w:eastAsia="Calibri"/>
            <w:sz w:val="20"/>
          </w:rPr>
          <w:t>www.dpmc.govt.nz/sites/default/files/2021-04/htu-factsheet-primary-and-community-care-en-apr21.pdf</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682BD77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Elliot CA, Hamlin MJ. 2018. Combined diet and physical activity is better than diet or physical activity alone at improving health outcomes for patients in New Zealand’s primary care intervention. </w:t>
      </w:r>
      <w:r w:rsidRPr="00D079D8">
        <w:rPr>
          <w:rFonts w:eastAsia="Calibri" w:cs="Segoe UI"/>
          <w:i/>
          <w:noProof/>
          <w:sz w:val="20"/>
          <w:lang w:val="en-US" w:eastAsia="en-US"/>
        </w:rPr>
        <w:t>BMC Public Health</w:t>
      </w:r>
      <w:r w:rsidRPr="00D079D8">
        <w:rPr>
          <w:rFonts w:eastAsia="Calibri" w:cs="Segoe UI"/>
          <w:noProof/>
          <w:sz w:val="20"/>
          <w:lang w:val="en-US" w:eastAsia="en-US"/>
        </w:rPr>
        <w:t xml:space="preserve"> 18(1): 230.</w:t>
      </w:r>
    </w:p>
    <w:p w14:paraId="16AEAB2F"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Health Navigator. 2021. </w:t>
      </w:r>
      <w:r w:rsidRPr="00D079D8">
        <w:rPr>
          <w:rFonts w:eastAsia="Calibri" w:cs="Segoe UI"/>
          <w:i/>
          <w:noProof/>
          <w:sz w:val="20"/>
          <w:lang w:val="en-US" w:eastAsia="en-US"/>
        </w:rPr>
        <w:t>Social determinants of health</w:t>
      </w:r>
      <w:r w:rsidRPr="00D079D8">
        <w:rPr>
          <w:rFonts w:eastAsia="Calibri" w:cs="Segoe UI"/>
          <w:noProof/>
          <w:sz w:val="20"/>
          <w:lang w:val="en-US" w:eastAsia="en-US"/>
        </w:rPr>
        <w:t xml:space="preserve">. URL: </w:t>
      </w:r>
      <w:hyperlink r:id="rId147" w:history="1">
        <w:r w:rsidRPr="00D079D8">
          <w:rPr>
            <w:rStyle w:val="Hyperlink"/>
            <w:rFonts w:eastAsia="Calibri"/>
            <w:sz w:val="20"/>
          </w:rPr>
          <w:t>www.healthnavigator.org.nz/clinicians/s/social-determinants-of-health/</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3AFE983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Heart Foundation. 2023. </w:t>
      </w:r>
      <w:r w:rsidRPr="00D079D8">
        <w:rPr>
          <w:rFonts w:eastAsia="Calibri" w:cs="Segoe UI"/>
          <w:i/>
          <w:noProof/>
          <w:sz w:val="20"/>
          <w:lang w:val="en-US" w:eastAsia="en-US"/>
        </w:rPr>
        <w:t>Statistics: General heart statistics in New Zealand</w:t>
      </w:r>
      <w:r w:rsidRPr="00D079D8">
        <w:rPr>
          <w:rFonts w:eastAsia="Calibri" w:cs="Segoe UI"/>
          <w:noProof/>
          <w:sz w:val="20"/>
          <w:lang w:val="en-US" w:eastAsia="en-US"/>
        </w:rPr>
        <w:t xml:space="preserve">. URL: </w:t>
      </w:r>
      <w:hyperlink r:id="rId148" w:history="1">
        <w:r w:rsidRPr="00D079D8">
          <w:rPr>
            <w:rStyle w:val="Hyperlink"/>
            <w:rFonts w:eastAsia="Calibri"/>
            <w:sz w:val="20"/>
          </w:rPr>
          <w:t>www.heartfoundation.org.nz/statistics</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2E522F5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Institute for Health Metrics and Evaluation. 2019. </w:t>
      </w:r>
      <w:r w:rsidRPr="00D079D8">
        <w:rPr>
          <w:rFonts w:eastAsia="Calibri" w:cs="Segoe UI"/>
          <w:i/>
          <w:noProof/>
          <w:sz w:val="20"/>
          <w:lang w:val="en-US" w:eastAsia="en-US"/>
        </w:rPr>
        <w:t>New Zealand</w:t>
      </w:r>
      <w:r w:rsidRPr="00D079D8">
        <w:rPr>
          <w:rFonts w:eastAsia="Calibri" w:cs="Segoe UI"/>
          <w:noProof/>
          <w:sz w:val="20"/>
          <w:lang w:val="en-US" w:eastAsia="en-US"/>
        </w:rPr>
        <w:t xml:space="preserve">. URL: </w:t>
      </w:r>
      <w:hyperlink r:id="rId149" w:history="1">
        <w:r w:rsidRPr="00D079D8">
          <w:rPr>
            <w:rStyle w:val="Hyperlink"/>
            <w:rFonts w:eastAsia="Calibri"/>
            <w:sz w:val="20"/>
          </w:rPr>
          <w:t>www.healthdata.org/new-zealand</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46A7BEB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Institute for Health Metrics and Evaluation. 2020a. </w:t>
      </w:r>
      <w:r w:rsidRPr="00D079D8">
        <w:rPr>
          <w:rFonts w:eastAsia="Calibri" w:cs="Segoe UI"/>
          <w:i/>
          <w:noProof/>
          <w:sz w:val="20"/>
          <w:lang w:val="en-US" w:eastAsia="en-US"/>
        </w:rPr>
        <w:t>Global Burden of Disease (GBD)</w:t>
      </w:r>
      <w:r w:rsidRPr="00D079D8">
        <w:rPr>
          <w:rFonts w:eastAsia="Calibri" w:cs="Segoe UI"/>
          <w:noProof/>
          <w:sz w:val="20"/>
          <w:lang w:val="en-US" w:eastAsia="en-US"/>
        </w:rPr>
        <w:t xml:space="preserve">. URL: </w:t>
      </w:r>
      <w:hyperlink r:id="rId150" w:history="1">
        <w:r w:rsidRPr="00D079D8">
          <w:rPr>
            <w:rStyle w:val="Hyperlink"/>
            <w:rFonts w:eastAsia="Calibri"/>
            <w:sz w:val="20"/>
          </w:rPr>
          <w:t>https://vizhub.healthdata.org/gbd-results/</w:t>
        </w:r>
      </w:hyperlink>
      <w:r w:rsidRPr="00D079D8">
        <w:rPr>
          <w:rFonts w:eastAsia="Calibri" w:cs="Segoe UI"/>
          <w:noProof/>
          <w:sz w:val="20"/>
          <w:lang w:val="en-US" w:eastAsia="en-US"/>
        </w:rPr>
        <w:t xml:space="preserve"> (accessed 5 May 2023).</w:t>
      </w:r>
    </w:p>
    <w:p w14:paraId="09E44BC1"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Institute for Health Metrics and Evaluation. 2020b. </w:t>
      </w:r>
      <w:r w:rsidRPr="00D079D8">
        <w:rPr>
          <w:rFonts w:eastAsia="Calibri" w:cs="Segoe UI"/>
          <w:i/>
          <w:noProof/>
          <w:sz w:val="20"/>
          <w:lang w:val="en-US" w:eastAsia="en-US"/>
        </w:rPr>
        <w:t>Global Burden of Disease Study 2019 (GBD 2019) life tables 1950-2019</w:t>
      </w:r>
      <w:r w:rsidRPr="00D079D8">
        <w:rPr>
          <w:rFonts w:eastAsia="Calibri" w:cs="Segoe UI"/>
          <w:noProof/>
          <w:sz w:val="20"/>
          <w:lang w:val="en-US" w:eastAsia="en-US"/>
        </w:rPr>
        <w:t xml:space="preserve">. URL: </w:t>
      </w:r>
      <w:hyperlink r:id="rId151" w:history="1">
        <w:r w:rsidRPr="00D079D8">
          <w:rPr>
            <w:rStyle w:val="Hyperlink"/>
            <w:rFonts w:eastAsia="Calibri"/>
            <w:sz w:val="20"/>
          </w:rPr>
          <w:t>https://ghdx.healthdata.org/record/ihme-data/gbd-2019-life-tables-1950-2019</w:t>
        </w:r>
      </w:hyperlink>
      <w:r w:rsidRPr="00D079D8">
        <w:rPr>
          <w:rStyle w:val="Hyperlink"/>
          <w:rFonts w:eastAsia="Calibri"/>
          <w:sz w:val="20"/>
        </w:rPr>
        <w:t xml:space="preserve"> </w:t>
      </w:r>
      <w:r w:rsidRPr="00D079D8">
        <w:rPr>
          <w:rFonts w:eastAsia="Calibri" w:cs="Segoe UI"/>
          <w:noProof/>
          <w:sz w:val="20"/>
          <w:lang w:val="en-US" w:eastAsia="en-US"/>
        </w:rPr>
        <w:t>(accessed 18 April 2023).</w:t>
      </w:r>
    </w:p>
    <w:p w14:paraId="69A2ADBC"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Irurzun-Lopez M, Jeffreys M, Cumming J. 2021. The enrolment gap: who is not enrolling with primary health organizations in Aotearoa New Zealand and what are the implications? An exploration of 2015–2019 administrative data. </w:t>
      </w:r>
      <w:r w:rsidRPr="00D079D8">
        <w:rPr>
          <w:rFonts w:eastAsia="Calibri" w:cs="Segoe UI"/>
          <w:i/>
          <w:noProof/>
          <w:sz w:val="20"/>
          <w:lang w:val="en-US" w:eastAsia="en-US"/>
        </w:rPr>
        <w:t>International Journal for Equity in Health</w:t>
      </w:r>
      <w:r w:rsidRPr="00D079D8">
        <w:rPr>
          <w:rFonts w:eastAsia="Calibri" w:cs="Segoe UI"/>
          <w:noProof/>
          <w:sz w:val="20"/>
          <w:lang w:val="en-US" w:eastAsia="en-US"/>
        </w:rPr>
        <w:t xml:space="preserve"> 20: 93.</w:t>
      </w:r>
    </w:p>
    <w:p w14:paraId="30CB2B4C"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Islam N, Jdanov DA, Shkolnikov VM, et al. 2021. Effects of covid-19 pandemic on life expectancy and premature mortality in 2020: time series analysis in 37 countries. </w:t>
      </w:r>
      <w:r w:rsidRPr="00D079D8">
        <w:rPr>
          <w:rFonts w:eastAsia="Calibri" w:cs="Segoe UI"/>
          <w:i/>
          <w:noProof/>
          <w:sz w:val="20"/>
          <w:lang w:val="en-US" w:eastAsia="en-US"/>
        </w:rPr>
        <w:t>BMJ</w:t>
      </w:r>
      <w:r w:rsidRPr="00D079D8">
        <w:rPr>
          <w:rFonts w:eastAsia="Calibri" w:cs="Segoe UI"/>
          <w:noProof/>
          <w:sz w:val="20"/>
          <w:lang w:val="en-US" w:eastAsia="en-US"/>
        </w:rPr>
        <w:t xml:space="preserve"> 375: e066768.</w:t>
      </w:r>
    </w:p>
    <w:p w14:paraId="6D720E2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Kobak D. 2023. </w:t>
      </w:r>
      <w:r w:rsidRPr="00D079D8">
        <w:rPr>
          <w:rFonts w:eastAsia="Calibri" w:cs="Segoe UI"/>
          <w:i/>
          <w:noProof/>
          <w:sz w:val="20"/>
          <w:lang w:val="en-US" w:eastAsia="en-US"/>
        </w:rPr>
        <w:t>Excess mortality during the COVID-19 pandemic</w:t>
      </w:r>
      <w:r w:rsidRPr="00D079D8">
        <w:rPr>
          <w:rFonts w:eastAsia="Calibri" w:cs="Segoe UI"/>
          <w:noProof/>
          <w:sz w:val="20"/>
          <w:lang w:val="en-US" w:eastAsia="en-US"/>
        </w:rPr>
        <w:t xml:space="preserve">. URL: </w:t>
      </w:r>
      <w:hyperlink r:id="rId152" w:history="1">
        <w:r w:rsidRPr="00D079D8">
          <w:rPr>
            <w:rStyle w:val="Hyperlink"/>
            <w:rFonts w:eastAsia="Calibri"/>
            <w:sz w:val="20"/>
          </w:rPr>
          <w:t>https://github.com/dkobak/excess-mortality</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3BF0013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2017. </w:t>
      </w:r>
      <w:r w:rsidRPr="00D079D8">
        <w:rPr>
          <w:rFonts w:eastAsia="Calibri" w:cs="Segoe UI"/>
          <w:i/>
          <w:noProof/>
          <w:sz w:val="20"/>
          <w:lang w:val="en-US" w:eastAsia="en-US"/>
        </w:rPr>
        <w:t>HISO 10001:2017 Ethnicity Data Protocols</w:t>
      </w:r>
      <w:r w:rsidRPr="00D079D8">
        <w:rPr>
          <w:rFonts w:eastAsia="Calibri" w:cs="Segoe UI"/>
          <w:noProof/>
          <w:sz w:val="20"/>
          <w:lang w:val="en-US" w:eastAsia="en-US"/>
        </w:rPr>
        <w:t xml:space="preserve">. URL: </w:t>
      </w:r>
      <w:hyperlink r:id="rId153" w:history="1">
        <w:r w:rsidRPr="00D079D8">
          <w:rPr>
            <w:rStyle w:val="Hyperlink"/>
            <w:rFonts w:eastAsia="Calibri"/>
            <w:sz w:val="20"/>
          </w:rPr>
          <w:t>www.moh.govt.nz/notebook/nbbooks.nsf/0/569DDB6A56F7E726CC2581FC00665BEB/$file/hiso-10001-2017-ethnicity-data-protocols.pdf</w:t>
        </w:r>
      </w:hyperlink>
      <w:r w:rsidRPr="00D079D8">
        <w:rPr>
          <w:rFonts w:eastAsia="Calibri" w:cs="Segoe UI"/>
          <w:noProof/>
          <w:sz w:val="20"/>
          <w:lang w:val="en-US" w:eastAsia="en-US"/>
        </w:rPr>
        <w:t xml:space="preserve"> (accessed 5 May 2023).</w:t>
      </w:r>
    </w:p>
    <w:p w14:paraId="19D3B8B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2019a. </w:t>
      </w:r>
      <w:r w:rsidRPr="00D079D8">
        <w:rPr>
          <w:rFonts w:eastAsia="Calibri" w:cs="Segoe UI"/>
          <w:i/>
          <w:noProof/>
          <w:sz w:val="20"/>
          <w:lang w:val="en-US" w:eastAsia="en-US"/>
        </w:rPr>
        <w:t>Achieving equity in health outcomes: Summary of a discovery process</w:t>
      </w:r>
      <w:r w:rsidRPr="00D079D8">
        <w:rPr>
          <w:rFonts w:eastAsia="Calibri" w:cs="Segoe UI"/>
          <w:noProof/>
          <w:sz w:val="20"/>
          <w:lang w:val="en-US" w:eastAsia="en-US"/>
        </w:rPr>
        <w:t xml:space="preserve">. URL: </w:t>
      </w:r>
      <w:hyperlink r:id="rId154" w:history="1">
        <w:r w:rsidRPr="00D079D8">
          <w:rPr>
            <w:rStyle w:val="Hyperlink"/>
            <w:rFonts w:eastAsia="Calibri"/>
            <w:sz w:val="20"/>
          </w:rPr>
          <w:t>www.health.govt.nz/system/files/documents/publications/achieving-equity-in-health-outcomes-summary-of-a-discovery-process-30jul2019.pdf</w:t>
        </w:r>
      </w:hyperlink>
      <w:r w:rsidRPr="00D079D8">
        <w:rPr>
          <w:rStyle w:val="Hyperlink"/>
          <w:rFonts w:eastAsia="Calibri"/>
          <w:sz w:val="20"/>
        </w:rPr>
        <w:t xml:space="preserve"> </w:t>
      </w:r>
      <w:r w:rsidRPr="00D079D8">
        <w:rPr>
          <w:rFonts w:eastAsia="Calibri" w:cs="Segoe UI"/>
          <w:noProof/>
          <w:sz w:val="20"/>
          <w:lang w:val="en-US" w:eastAsia="en-US"/>
        </w:rPr>
        <w:t>(accessed 4 May 2023).</w:t>
      </w:r>
    </w:p>
    <w:p w14:paraId="6F1314D3"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2019b. </w:t>
      </w:r>
      <w:r w:rsidRPr="00D079D8">
        <w:rPr>
          <w:rFonts w:eastAsia="Calibri" w:cs="Segoe UI"/>
          <w:i/>
          <w:noProof/>
          <w:sz w:val="20"/>
          <w:lang w:val="en-US" w:eastAsia="en-US"/>
        </w:rPr>
        <w:t>Fetal and infant deaths 2016</w:t>
      </w:r>
      <w:r w:rsidRPr="00D079D8">
        <w:rPr>
          <w:rFonts w:eastAsia="Calibri" w:cs="Segoe UI"/>
          <w:noProof/>
          <w:sz w:val="20"/>
          <w:lang w:val="en-US" w:eastAsia="en-US"/>
        </w:rPr>
        <w:t xml:space="preserve">. URL: </w:t>
      </w:r>
      <w:hyperlink r:id="rId155" w:history="1">
        <w:r w:rsidRPr="00D079D8">
          <w:rPr>
            <w:rStyle w:val="Hyperlink"/>
            <w:rFonts w:eastAsia="Calibri"/>
            <w:sz w:val="20"/>
          </w:rPr>
          <w:t>www.health.govt.nz/publication/fetal-and-infant-deaths-2016</w:t>
        </w:r>
      </w:hyperlink>
      <w:r w:rsidRPr="00D079D8">
        <w:rPr>
          <w:rFonts w:eastAsia="Calibri" w:cs="Segoe UI"/>
          <w:noProof/>
          <w:sz w:val="20"/>
          <w:lang w:val="en-US" w:eastAsia="en-US"/>
        </w:rPr>
        <w:t xml:space="preserve"> (accessed 8 May 2023).</w:t>
      </w:r>
    </w:p>
    <w:p w14:paraId="4ED57D11"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2019c. </w:t>
      </w:r>
      <w:r w:rsidRPr="00D079D8">
        <w:rPr>
          <w:rFonts w:eastAsia="Calibri" w:cs="Segoe UI"/>
          <w:i/>
          <w:noProof/>
          <w:sz w:val="20"/>
          <w:lang w:val="en-US" w:eastAsia="en-US"/>
        </w:rPr>
        <w:t>Household food insecurity among children: New Zealand Health Survey</w:t>
      </w:r>
      <w:r w:rsidRPr="00D079D8">
        <w:rPr>
          <w:rFonts w:eastAsia="Calibri" w:cs="Segoe UI"/>
          <w:noProof/>
          <w:sz w:val="20"/>
          <w:lang w:val="en-US" w:eastAsia="en-US"/>
        </w:rPr>
        <w:t xml:space="preserve">. URL: </w:t>
      </w:r>
      <w:hyperlink r:id="rId156" w:history="1">
        <w:r w:rsidRPr="00D079D8">
          <w:rPr>
            <w:rStyle w:val="Hyperlink"/>
            <w:rFonts w:eastAsia="Calibri"/>
            <w:sz w:val="20"/>
          </w:rPr>
          <w:t>www.health.govt.nz/system/files/documents/publications/household-food-insecurity-among-children-new-zealand-health-survey-summary-of-findings-jun19.pdf</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7CCBD3F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2020a. </w:t>
      </w:r>
      <w:r w:rsidRPr="00D079D8">
        <w:rPr>
          <w:rFonts w:eastAsia="Calibri" w:cs="Segoe UI"/>
          <w:i/>
          <w:noProof/>
          <w:sz w:val="20"/>
          <w:lang w:val="en-US" w:eastAsia="en-US"/>
        </w:rPr>
        <w:t>Eating and Activity Guidelines for New Zealand Adults</w:t>
      </w:r>
      <w:r w:rsidRPr="00D079D8">
        <w:rPr>
          <w:rFonts w:eastAsia="Calibri" w:cs="Segoe UI"/>
          <w:noProof/>
          <w:sz w:val="20"/>
          <w:lang w:val="en-US" w:eastAsia="en-US"/>
        </w:rPr>
        <w:t xml:space="preserve">. URL: </w:t>
      </w:r>
      <w:hyperlink r:id="rId157" w:history="1">
        <w:r w:rsidRPr="00D079D8">
          <w:rPr>
            <w:rStyle w:val="Hyperlink"/>
            <w:rFonts w:eastAsia="Calibri"/>
            <w:sz w:val="20"/>
          </w:rPr>
          <w:t>www.health.govt.nz/publication/eating-and-activity-guidelines-new-zealand-adults</w:t>
        </w:r>
      </w:hyperlink>
      <w:r w:rsidRPr="00D079D8">
        <w:rPr>
          <w:rStyle w:val="Hyperlink"/>
          <w:rFonts w:eastAsia="Calibri"/>
          <w:sz w:val="20"/>
        </w:rPr>
        <w:t xml:space="preserve"> </w:t>
      </w:r>
      <w:r w:rsidRPr="00D079D8">
        <w:rPr>
          <w:rFonts w:eastAsia="Calibri" w:cs="Segoe UI"/>
          <w:noProof/>
          <w:sz w:val="20"/>
          <w:lang w:val="en-US" w:eastAsia="en-US"/>
        </w:rPr>
        <w:t>(accessed 31 September 2022).</w:t>
      </w:r>
    </w:p>
    <w:p w14:paraId="5EB1545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2020b. </w:t>
      </w:r>
      <w:r w:rsidRPr="00D079D8">
        <w:rPr>
          <w:rFonts w:eastAsia="Calibri" w:cs="Segoe UI"/>
          <w:i/>
          <w:noProof/>
          <w:sz w:val="20"/>
          <w:lang w:val="en-US" w:eastAsia="en-US"/>
        </w:rPr>
        <w:t>Immunisation Handbook 2020: Coronavirus disesase (COVID-19)</w:t>
      </w:r>
      <w:r w:rsidRPr="00D079D8">
        <w:rPr>
          <w:rFonts w:eastAsia="Calibri" w:cs="Segoe UI"/>
          <w:noProof/>
          <w:sz w:val="20"/>
          <w:lang w:val="en-US" w:eastAsia="en-US"/>
        </w:rPr>
        <w:t xml:space="preserve">. URL: </w:t>
      </w:r>
      <w:hyperlink r:id="rId158" w:anchor="23-5" w:history="1">
        <w:r w:rsidRPr="00D079D8">
          <w:rPr>
            <w:rStyle w:val="Hyperlink"/>
            <w:rFonts w:eastAsia="Calibri"/>
            <w:sz w:val="20"/>
          </w:rPr>
          <w:t>www.health.govt.nz/our-work/immunisation-handbook-2020/5-coronavirus-disease-covid-19#23-5</w:t>
        </w:r>
      </w:hyperlink>
      <w:r w:rsidRPr="00D079D8">
        <w:rPr>
          <w:rFonts w:eastAsia="Calibri" w:cs="Segoe UI"/>
          <w:noProof/>
          <w:sz w:val="20"/>
          <w:lang w:val="en-US" w:eastAsia="en-US"/>
        </w:rPr>
        <w:t xml:space="preserve"> (accessed 8 May 2023).</w:t>
      </w:r>
    </w:p>
    <w:p w14:paraId="53BA1A9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2020c. </w:t>
      </w:r>
      <w:r w:rsidRPr="00D079D8">
        <w:rPr>
          <w:rFonts w:eastAsia="Calibri" w:cs="Segoe UI"/>
          <w:i/>
          <w:noProof/>
          <w:sz w:val="20"/>
          <w:lang w:val="en-US" w:eastAsia="en-US"/>
        </w:rPr>
        <w:t>Longer, Healthier Lives: New Zealand's health 1990–2017</w:t>
      </w:r>
      <w:r w:rsidRPr="00D079D8">
        <w:rPr>
          <w:rFonts w:eastAsia="Calibri" w:cs="Segoe UI"/>
          <w:noProof/>
          <w:sz w:val="20"/>
          <w:lang w:val="en-US" w:eastAsia="en-US"/>
        </w:rPr>
        <w:t xml:space="preserve">. URL: </w:t>
      </w:r>
      <w:hyperlink r:id="rId159" w:history="1">
        <w:r w:rsidRPr="00D079D8">
          <w:rPr>
            <w:rStyle w:val="Hyperlink"/>
            <w:rFonts w:eastAsia="Calibri"/>
            <w:sz w:val="20"/>
          </w:rPr>
          <w:t>www.health.govt.nz/publication/longer-healthier-lives-new-zealands-health-1990-2017</w:t>
        </w:r>
      </w:hyperlink>
      <w:r w:rsidRPr="00D079D8">
        <w:rPr>
          <w:rStyle w:val="Hyperlink"/>
          <w:rFonts w:eastAsia="Calibri"/>
          <w:sz w:val="20"/>
        </w:rPr>
        <w:t xml:space="preserve"> </w:t>
      </w:r>
      <w:r w:rsidRPr="00D079D8">
        <w:rPr>
          <w:rFonts w:eastAsia="Calibri" w:cs="Segoe UI"/>
          <w:noProof/>
          <w:sz w:val="20"/>
          <w:lang w:val="en-US" w:eastAsia="en-US"/>
        </w:rPr>
        <w:t>(accessed 4 May 2023).</w:t>
      </w:r>
    </w:p>
    <w:p w14:paraId="65185701"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2020d. </w:t>
      </w:r>
      <w:r w:rsidRPr="00D079D8">
        <w:rPr>
          <w:rFonts w:eastAsia="Calibri" w:cs="Segoe UI"/>
          <w:i/>
          <w:noProof/>
          <w:sz w:val="20"/>
          <w:lang w:val="en-US" w:eastAsia="en-US"/>
        </w:rPr>
        <w:t>Whakamaua: Māori Health Action Plan 2020-2025</w:t>
      </w:r>
      <w:r w:rsidRPr="00D079D8">
        <w:rPr>
          <w:rFonts w:eastAsia="Calibri" w:cs="Segoe UI"/>
          <w:noProof/>
          <w:sz w:val="20"/>
          <w:lang w:val="en-US" w:eastAsia="en-US"/>
        </w:rPr>
        <w:t xml:space="preserve">. URL: </w:t>
      </w:r>
      <w:hyperlink r:id="rId160" w:history="1">
        <w:r w:rsidRPr="00D079D8">
          <w:rPr>
            <w:rStyle w:val="Hyperlink"/>
            <w:rFonts w:eastAsia="Calibri"/>
            <w:sz w:val="20"/>
          </w:rPr>
          <w:t>www.health.govt.nz/our-work/populations/maori-health/whakamaua-maori-health-action-plan-2020-2025</w:t>
        </w:r>
      </w:hyperlink>
      <w:r w:rsidRPr="00D079D8">
        <w:rPr>
          <w:rFonts w:eastAsia="Calibri" w:cs="Segoe UI"/>
          <w:noProof/>
          <w:sz w:val="20"/>
          <w:lang w:val="en-US" w:eastAsia="en-US"/>
        </w:rPr>
        <w:t xml:space="preserve"> (accessed 5 May 2023).</w:t>
      </w:r>
    </w:p>
    <w:p w14:paraId="1FA33A5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2021a. </w:t>
      </w:r>
      <w:r w:rsidRPr="00D079D8">
        <w:rPr>
          <w:rFonts w:eastAsia="Calibri" w:cs="Segoe UI"/>
          <w:i/>
          <w:noProof/>
          <w:sz w:val="20"/>
          <w:lang w:val="en-US" w:eastAsia="en-US"/>
        </w:rPr>
        <w:t>Kia Manawanui Aotearoa: Long-term pathway to mental wellbeing</w:t>
      </w:r>
      <w:r w:rsidRPr="00D079D8">
        <w:rPr>
          <w:rFonts w:eastAsia="Calibri" w:cs="Segoe UI"/>
          <w:noProof/>
          <w:sz w:val="20"/>
          <w:lang w:val="en-US" w:eastAsia="en-US"/>
        </w:rPr>
        <w:t xml:space="preserve">. URL: </w:t>
      </w:r>
      <w:hyperlink r:id="rId161" w:history="1">
        <w:r w:rsidRPr="00D079D8">
          <w:rPr>
            <w:rStyle w:val="Hyperlink"/>
            <w:rFonts w:eastAsia="Calibri"/>
            <w:sz w:val="20"/>
          </w:rPr>
          <w:t>www.health.govt.nz/publication/kia-manawanui-aotearoa-long-term-pathway-mental-wellbeing</w:t>
        </w:r>
      </w:hyperlink>
      <w:r w:rsidRPr="00D079D8">
        <w:rPr>
          <w:rFonts w:eastAsia="Calibri" w:cs="Segoe UI"/>
          <w:noProof/>
          <w:sz w:val="20"/>
          <w:lang w:val="en-US" w:eastAsia="en-US"/>
        </w:rPr>
        <w:t xml:space="preserve"> (accessed 5 May 2023).</w:t>
      </w:r>
    </w:p>
    <w:p w14:paraId="0AFB6E7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2021b. </w:t>
      </w:r>
      <w:r w:rsidRPr="00D079D8">
        <w:rPr>
          <w:rFonts w:eastAsia="Calibri" w:cs="Segoe UI"/>
          <w:i/>
          <w:noProof/>
          <w:sz w:val="20"/>
          <w:lang w:val="en-US" w:eastAsia="en-US"/>
        </w:rPr>
        <w:t>Long COVID</w:t>
      </w:r>
      <w:r w:rsidRPr="00D079D8">
        <w:rPr>
          <w:rFonts w:eastAsia="Calibri" w:cs="Segoe UI"/>
          <w:noProof/>
          <w:sz w:val="20"/>
          <w:lang w:val="en-US" w:eastAsia="en-US"/>
        </w:rPr>
        <w:t xml:space="preserve">. URL: </w:t>
      </w:r>
      <w:hyperlink r:id="rId162" w:history="1">
        <w:r w:rsidRPr="00D079D8">
          <w:rPr>
            <w:rStyle w:val="Hyperlink"/>
            <w:rFonts w:eastAsia="Calibri"/>
            <w:sz w:val="20"/>
          </w:rPr>
          <w:t>www.health.govt.nz/our-work/diseases-and-conditions/covid-19-novel-coronavirus/covid-19-health-advice-public/long-covid</w:t>
        </w:r>
      </w:hyperlink>
      <w:r w:rsidRPr="00D079D8">
        <w:rPr>
          <w:rStyle w:val="Hyperlink"/>
          <w:rFonts w:eastAsia="Calibri"/>
          <w:sz w:val="20"/>
        </w:rPr>
        <w:t xml:space="preserve"> </w:t>
      </w:r>
      <w:r w:rsidRPr="00D079D8">
        <w:rPr>
          <w:rFonts w:eastAsia="Calibri" w:cs="Segoe UI"/>
          <w:noProof/>
          <w:sz w:val="20"/>
          <w:lang w:val="en-US" w:eastAsia="en-US"/>
        </w:rPr>
        <w:t>(accessed 21 October 2021).</w:t>
      </w:r>
    </w:p>
    <w:p w14:paraId="4560E6E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2021c. </w:t>
      </w:r>
      <w:r w:rsidRPr="00D079D8">
        <w:rPr>
          <w:rFonts w:eastAsia="Calibri" w:cs="Segoe UI"/>
          <w:i/>
          <w:noProof/>
          <w:sz w:val="20"/>
          <w:lang w:val="en-US" w:eastAsia="en-US"/>
        </w:rPr>
        <w:t>Smokefree Aotearoa 2025 Action Plan - Auahi Kore Aotearoa Mahere Rautaki 2025</w:t>
      </w:r>
      <w:r w:rsidRPr="00D079D8">
        <w:rPr>
          <w:rFonts w:eastAsia="Calibri" w:cs="Segoe UI"/>
          <w:noProof/>
          <w:sz w:val="20"/>
          <w:lang w:val="en-US" w:eastAsia="en-US"/>
        </w:rPr>
        <w:t xml:space="preserve">. URL: </w:t>
      </w:r>
      <w:hyperlink r:id="rId163" w:history="1">
        <w:r w:rsidRPr="00D079D8">
          <w:rPr>
            <w:rStyle w:val="Hyperlink"/>
            <w:rFonts w:eastAsia="Calibri"/>
            <w:sz w:val="20"/>
          </w:rPr>
          <w:t>www.health.govt.nz/publication/smokefree-aotearoa-2025-action-plan-auahi-kore-aotearoa-mahere-rautaki-2025</w:t>
        </w:r>
      </w:hyperlink>
      <w:r w:rsidRPr="00D079D8">
        <w:rPr>
          <w:rFonts w:eastAsia="Calibri" w:cs="Segoe UI"/>
          <w:noProof/>
          <w:sz w:val="20"/>
          <w:lang w:val="en-US" w:eastAsia="en-US"/>
        </w:rPr>
        <w:t xml:space="preserve"> (accessed 5 May 2023).</w:t>
      </w:r>
    </w:p>
    <w:p w14:paraId="27530E5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2022a. </w:t>
      </w:r>
      <w:r w:rsidRPr="00D079D8">
        <w:rPr>
          <w:rFonts w:eastAsia="Calibri" w:cs="Segoe UI"/>
          <w:i/>
          <w:noProof/>
          <w:sz w:val="20"/>
          <w:lang w:val="en-US" w:eastAsia="en-US"/>
        </w:rPr>
        <w:t>Age 5 and year 8 oral health data from the Community Oral Health Service</w:t>
      </w:r>
      <w:r w:rsidRPr="00D079D8">
        <w:rPr>
          <w:rFonts w:eastAsia="Calibri" w:cs="Segoe UI"/>
          <w:noProof/>
          <w:sz w:val="20"/>
          <w:lang w:val="en-US" w:eastAsia="en-US"/>
        </w:rPr>
        <w:t xml:space="preserve">. URL: </w:t>
      </w:r>
      <w:hyperlink r:id="rId164" w:history="1">
        <w:r w:rsidRPr="00D079D8">
          <w:rPr>
            <w:rStyle w:val="Hyperlink"/>
            <w:rFonts w:eastAsia="Calibri"/>
            <w:sz w:val="20"/>
          </w:rPr>
          <w:t>www.health.govt.nz/nz-health-statistics/health-statistics-and-data-sets/oral-health-data-and-stats/age-5-and-year-8-oral-health-data-community-oral-health-service</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7EA3E53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Manatū Hauora. 2022b. </w:t>
      </w:r>
      <w:r w:rsidRPr="00D079D8">
        <w:rPr>
          <w:rFonts w:eastAsia="Calibri" w:cs="Segoe UI"/>
          <w:i/>
          <w:noProof/>
          <w:sz w:val="20"/>
          <w:lang w:val="en-US" w:eastAsia="en-US"/>
        </w:rPr>
        <w:t>Alcohol</w:t>
      </w:r>
      <w:r w:rsidRPr="00D079D8">
        <w:rPr>
          <w:rFonts w:eastAsia="Calibri" w:cs="Segoe UI"/>
          <w:noProof/>
          <w:sz w:val="20"/>
          <w:lang w:val="en-US" w:eastAsia="en-US"/>
        </w:rPr>
        <w:t xml:space="preserve">. URL: </w:t>
      </w:r>
      <w:hyperlink r:id="rId165" w:history="1">
        <w:r w:rsidRPr="00D079D8">
          <w:rPr>
            <w:rStyle w:val="Hyperlink"/>
            <w:rFonts w:eastAsia="Calibri"/>
            <w:sz w:val="20"/>
          </w:rPr>
          <w:t>www.health.govt.nz/your-health/healthy-living/addictions/alcohol-and-drug-abuse/alcohol</w:t>
        </w:r>
      </w:hyperlink>
      <w:r w:rsidRPr="00D079D8">
        <w:rPr>
          <w:rFonts w:eastAsia="Calibri" w:cs="Segoe UI"/>
          <w:noProof/>
          <w:sz w:val="20"/>
          <w:lang w:val="en-US" w:eastAsia="en-US"/>
        </w:rPr>
        <w:t xml:space="preserve"> (accessed 5 May 2023).</w:t>
      </w:r>
    </w:p>
    <w:p w14:paraId="6349299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2022c. </w:t>
      </w:r>
      <w:r w:rsidRPr="00D079D8">
        <w:rPr>
          <w:rFonts w:eastAsia="Calibri" w:cs="Segoe UI"/>
          <w:i/>
          <w:noProof/>
          <w:sz w:val="20"/>
          <w:lang w:val="en-US" w:eastAsia="en-US"/>
        </w:rPr>
        <w:t>COVID-19 mortality in Aotearoa New Zealand: Inequalities in risk</w:t>
      </w:r>
      <w:r w:rsidRPr="00D079D8">
        <w:rPr>
          <w:rFonts w:eastAsia="Calibri" w:cs="Segoe UI"/>
          <w:noProof/>
          <w:sz w:val="20"/>
          <w:lang w:val="en-US" w:eastAsia="en-US"/>
        </w:rPr>
        <w:t xml:space="preserve">. URL: </w:t>
      </w:r>
      <w:hyperlink r:id="rId166" w:history="1">
        <w:r w:rsidRPr="00D079D8">
          <w:rPr>
            <w:rStyle w:val="Hyperlink"/>
            <w:rFonts w:eastAsia="Calibri"/>
            <w:sz w:val="20"/>
          </w:rPr>
          <w:t>www.health.govt.nz/publication/covid-19-mortality-aotearoa-new-zealand-inequities-risk</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6C727303"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2022d. </w:t>
      </w:r>
      <w:r w:rsidRPr="00D079D8">
        <w:rPr>
          <w:rFonts w:eastAsia="Calibri" w:cs="Segoe UI"/>
          <w:i/>
          <w:noProof/>
          <w:sz w:val="20"/>
          <w:lang w:val="en-US" w:eastAsia="en-US"/>
        </w:rPr>
        <w:t>COVID-19 trends and insights report</w:t>
      </w:r>
      <w:r w:rsidRPr="00D079D8">
        <w:rPr>
          <w:rFonts w:eastAsia="Calibri" w:cs="Segoe UI"/>
          <w:noProof/>
          <w:sz w:val="20"/>
          <w:lang w:val="en-US" w:eastAsia="en-US"/>
        </w:rPr>
        <w:t xml:space="preserve">. URL: </w:t>
      </w:r>
      <w:hyperlink r:id="rId167" w:history="1">
        <w:r w:rsidRPr="00D079D8">
          <w:rPr>
            <w:rStyle w:val="Hyperlink"/>
            <w:rFonts w:eastAsia="Calibri"/>
            <w:sz w:val="20"/>
          </w:rPr>
          <w:t>www.health.govt.nz/system/files/documents/pages/trends-and-insights-report-4nov22.pdf</w:t>
        </w:r>
      </w:hyperlink>
      <w:r w:rsidRPr="00D079D8">
        <w:rPr>
          <w:rFonts w:eastAsia="Calibri" w:cs="Segoe UI"/>
          <w:noProof/>
          <w:sz w:val="20"/>
          <w:lang w:val="en-US" w:eastAsia="en-US"/>
        </w:rPr>
        <w:t xml:space="preserve"> (accessed 18 May 2023).</w:t>
      </w:r>
    </w:p>
    <w:p w14:paraId="5ACE1AAC"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2022e. </w:t>
      </w:r>
      <w:r w:rsidRPr="00D079D8">
        <w:rPr>
          <w:rFonts w:eastAsia="Calibri" w:cs="Segoe UI"/>
          <w:i/>
          <w:noProof/>
          <w:sz w:val="20"/>
          <w:lang w:val="en-US" w:eastAsia="en-US"/>
        </w:rPr>
        <w:t>COVID-19 variants</w:t>
      </w:r>
      <w:r w:rsidRPr="00D079D8">
        <w:rPr>
          <w:rFonts w:eastAsia="Calibri" w:cs="Segoe UI"/>
          <w:noProof/>
          <w:sz w:val="20"/>
          <w:lang w:val="en-US" w:eastAsia="en-US"/>
        </w:rPr>
        <w:t xml:space="preserve">. URL: </w:t>
      </w:r>
      <w:hyperlink r:id="rId168" w:history="1">
        <w:r w:rsidRPr="00D079D8">
          <w:rPr>
            <w:rStyle w:val="Hyperlink"/>
            <w:rFonts w:eastAsia="Calibri"/>
            <w:sz w:val="20"/>
          </w:rPr>
          <w:t>www.health.govt.nz/covid-19-novel-coronavirus/covid-19-health-advice-public/about-covid-19/covid-19-variants</w:t>
        </w:r>
      </w:hyperlink>
      <w:r w:rsidRPr="00D079D8">
        <w:rPr>
          <w:rStyle w:val="Hyperlink"/>
          <w:rFonts w:eastAsia="Calibri"/>
          <w:sz w:val="20"/>
        </w:rPr>
        <w:t xml:space="preserve"> </w:t>
      </w:r>
      <w:r w:rsidRPr="00D079D8">
        <w:rPr>
          <w:rFonts w:eastAsia="Calibri" w:cs="Segoe UI"/>
          <w:noProof/>
          <w:sz w:val="20"/>
          <w:lang w:val="en-US" w:eastAsia="en-US"/>
        </w:rPr>
        <w:t>(accessed 21 September 2022).</w:t>
      </w:r>
    </w:p>
    <w:p w14:paraId="0F5E866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2022f. </w:t>
      </w:r>
      <w:r w:rsidRPr="00D079D8">
        <w:rPr>
          <w:rFonts w:eastAsia="Calibri" w:cs="Segoe UI"/>
          <w:i/>
          <w:noProof/>
          <w:sz w:val="20"/>
          <w:lang w:val="en-US" w:eastAsia="en-US"/>
        </w:rPr>
        <w:t>COVID-19: Vaccine data</w:t>
      </w:r>
      <w:r w:rsidRPr="00D079D8">
        <w:rPr>
          <w:rFonts w:eastAsia="Calibri" w:cs="Segoe UI"/>
          <w:noProof/>
          <w:sz w:val="20"/>
          <w:lang w:val="en-US" w:eastAsia="en-US"/>
        </w:rPr>
        <w:t xml:space="preserve">. URL: </w:t>
      </w:r>
      <w:hyperlink r:id="rId169" w:history="1">
        <w:r w:rsidRPr="00D079D8">
          <w:rPr>
            <w:rStyle w:val="Hyperlink"/>
            <w:rFonts w:eastAsia="Calibri"/>
            <w:sz w:val="20"/>
          </w:rPr>
          <w:t>www.health.govt.nz/covid-19-novel-coronavirus/covid-19-data-and-statistics/covid-19-vaccine-data</w:t>
        </w:r>
      </w:hyperlink>
      <w:r w:rsidRPr="00D079D8">
        <w:rPr>
          <w:rStyle w:val="Hyperlink"/>
          <w:rFonts w:eastAsia="Calibri"/>
          <w:sz w:val="20"/>
        </w:rPr>
        <w:t xml:space="preserve"> </w:t>
      </w:r>
      <w:r w:rsidRPr="00D079D8">
        <w:rPr>
          <w:rFonts w:eastAsia="Calibri" w:cs="Segoe UI"/>
          <w:noProof/>
          <w:sz w:val="20"/>
          <w:lang w:val="en-US" w:eastAsia="en-US"/>
        </w:rPr>
        <w:t>(accessed 1 November 2022).</w:t>
      </w:r>
    </w:p>
    <w:p w14:paraId="6CD697BC"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2022g. </w:t>
      </w:r>
      <w:r w:rsidRPr="00D079D8">
        <w:rPr>
          <w:rFonts w:eastAsia="Calibri" w:cs="Segoe UI"/>
          <w:i/>
          <w:noProof/>
          <w:sz w:val="20"/>
          <w:lang w:val="en-US" w:eastAsia="en-US"/>
        </w:rPr>
        <w:t>Further information about the HSU Dataset and Review</w:t>
      </w:r>
      <w:r w:rsidRPr="00D079D8">
        <w:rPr>
          <w:rFonts w:eastAsia="Calibri" w:cs="Segoe UI"/>
          <w:noProof/>
          <w:sz w:val="20"/>
          <w:lang w:val="en-US" w:eastAsia="en-US"/>
        </w:rPr>
        <w:t xml:space="preserve">. URL: </w:t>
      </w:r>
      <w:hyperlink r:id="rId170" w:history="1">
        <w:r w:rsidRPr="00D079D8">
          <w:rPr>
            <w:rStyle w:val="Hyperlink"/>
            <w:rFonts w:eastAsia="Calibri"/>
            <w:sz w:val="20"/>
          </w:rPr>
          <w:t>www.health.govt.nz/system/files/documents/publications/further-information-about-the-hsu-dataset-and-review-4aug22.pdf</w:t>
        </w:r>
      </w:hyperlink>
      <w:r w:rsidRPr="00D079D8">
        <w:rPr>
          <w:rStyle w:val="Hyperlink"/>
          <w:rFonts w:eastAsia="Calibri"/>
          <w:sz w:val="20"/>
        </w:rPr>
        <w:t xml:space="preserve"> </w:t>
      </w:r>
      <w:r w:rsidRPr="00D079D8">
        <w:rPr>
          <w:rFonts w:eastAsia="Calibri" w:cs="Segoe UI"/>
          <w:noProof/>
          <w:sz w:val="20"/>
          <w:lang w:val="en-US" w:eastAsia="en-US"/>
        </w:rPr>
        <w:t>(accessed 31 October 2022).</w:t>
      </w:r>
    </w:p>
    <w:p w14:paraId="1F4CD9FE"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2022h. </w:t>
      </w:r>
      <w:r w:rsidRPr="00D079D8">
        <w:rPr>
          <w:rFonts w:eastAsia="Calibri" w:cs="Segoe UI"/>
          <w:i/>
          <w:noProof/>
          <w:sz w:val="20"/>
          <w:lang w:val="en-US" w:eastAsia="en-US"/>
        </w:rPr>
        <w:t>Health strategies for all New Zealanders</w:t>
      </w:r>
      <w:r w:rsidRPr="00D079D8">
        <w:rPr>
          <w:rFonts w:eastAsia="Calibri" w:cs="Segoe UI"/>
          <w:noProof/>
          <w:sz w:val="20"/>
          <w:lang w:val="en-US" w:eastAsia="en-US"/>
        </w:rPr>
        <w:t xml:space="preserve">. URL: </w:t>
      </w:r>
      <w:hyperlink r:id="rId171" w:history="1">
        <w:r w:rsidRPr="00D079D8">
          <w:rPr>
            <w:rStyle w:val="Hyperlink"/>
            <w:rFonts w:eastAsia="Calibri"/>
            <w:sz w:val="20"/>
          </w:rPr>
          <w:t>www.health.govt.nz/new-zealand-health-system/setting-direction-our-new-health-system/health-strategies-all-new-zealanders</w:t>
        </w:r>
      </w:hyperlink>
      <w:r w:rsidRPr="00D079D8">
        <w:rPr>
          <w:rStyle w:val="Hyperlink"/>
          <w:rFonts w:eastAsia="Calibri"/>
          <w:sz w:val="20"/>
        </w:rPr>
        <w:t xml:space="preserve"> </w:t>
      </w:r>
      <w:r w:rsidRPr="00D079D8">
        <w:rPr>
          <w:rFonts w:eastAsia="Calibri" w:cs="Segoe UI"/>
          <w:noProof/>
          <w:sz w:val="20"/>
          <w:lang w:val="en-US" w:eastAsia="en-US"/>
        </w:rPr>
        <w:t>(accessed 9 May 2023).</w:t>
      </w:r>
    </w:p>
    <w:p w14:paraId="3E7EF3BF"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2022i. </w:t>
      </w:r>
      <w:r w:rsidRPr="00D079D8">
        <w:rPr>
          <w:rFonts w:eastAsia="Calibri" w:cs="Segoe UI"/>
          <w:i/>
          <w:noProof/>
          <w:sz w:val="20"/>
          <w:lang w:val="en-US" w:eastAsia="en-US"/>
        </w:rPr>
        <w:t>Methodology Report 2021/22: New Zealand Health Survey</w:t>
      </w:r>
      <w:r w:rsidRPr="00D079D8">
        <w:rPr>
          <w:rFonts w:eastAsia="Calibri" w:cs="Segoe UI"/>
          <w:noProof/>
          <w:sz w:val="20"/>
          <w:lang w:val="en-US" w:eastAsia="en-US"/>
        </w:rPr>
        <w:t xml:space="preserve">. URL: </w:t>
      </w:r>
      <w:hyperlink r:id="rId172" w:history="1">
        <w:r w:rsidRPr="00D079D8">
          <w:rPr>
            <w:rStyle w:val="Hyperlink"/>
            <w:rFonts w:eastAsia="Calibri"/>
            <w:sz w:val="20"/>
          </w:rPr>
          <w:t>www.health.govt.nz/system/files/documents/publications/methodology_report_2021_22-_new_zealand_health_survey_11_nov.pdf</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393042BE"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2022j. </w:t>
      </w:r>
      <w:r w:rsidRPr="00D079D8">
        <w:rPr>
          <w:rFonts w:eastAsia="Calibri" w:cs="Segoe UI"/>
          <w:i/>
          <w:noProof/>
          <w:sz w:val="20"/>
          <w:lang w:val="en-US" w:eastAsia="en-US"/>
        </w:rPr>
        <w:t>New health and disability system</w:t>
      </w:r>
      <w:r w:rsidRPr="00D079D8">
        <w:rPr>
          <w:rFonts w:eastAsia="Calibri" w:cs="Segoe UI"/>
          <w:noProof/>
          <w:sz w:val="20"/>
          <w:lang w:val="en-US" w:eastAsia="en-US"/>
        </w:rPr>
        <w:t xml:space="preserve">. URL: </w:t>
      </w:r>
      <w:hyperlink r:id="rId173" w:history="1">
        <w:r w:rsidRPr="00D079D8">
          <w:rPr>
            <w:rStyle w:val="Hyperlink"/>
            <w:rFonts w:eastAsia="Calibri"/>
            <w:sz w:val="20"/>
          </w:rPr>
          <w:t>www.health.govt.nz/new-zealand-health-system/new-health-and-disability-system</w:t>
        </w:r>
      </w:hyperlink>
      <w:r w:rsidRPr="00D079D8">
        <w:rPr>
          <w:rStyle w:val="Hyperlink"/>
          <w:rFonts w:eastAsia="Calibri"/>
          <w:sz w:val="20"/>
        </w:rPr>
        <w:t xml:space="preserve"> </w:t>
      </w:r>
      <w:r w:rsidRPr="00D079D8">
        <w:rPr>
          <w:rFonts w:eastAsia="Calibri" w:cs="Segoe UI"/>
          <w:noProof/>
          <w:sz w:val="20"/>
          <w:lang w:val="en-US" w:eastAsia="en-US"/>
        </w:rPr>
        <w:t>(accessed 9 May 2023).</w:t>
      </w:r>
    </w:p>
    <w:p w14:paraId="60E94CB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2022k. </w:t>
      </w:r>
      <w:r w:rsidRPr="00D079D8">
        <w:rPr>
          <w:rFonts w:eastAsia="Calibri" w:cs="Segoe UI"/>
          <w:i/>
          <w:noProof/>
          <w:sz w:val="20"/>
          <w:lang w:val="en-US" w:eastAsia="en-US"/>
        </w:rPr>
        <w:t>Obesity in 2021/22</w:t>
      </w:r>
      <w:r w:rsidRPr="00D079D8">
        <w:rPr>
          <w:rFonts w:eastAsia="Calibri" w:cs="Segoe UI"/>
          <w:noProof/>
          <w:sz w:val="20"/>
          <w:lang w:val="en-US" w:eastAsia="en-US"/>
        </w:rPr>
        <w:t xml:space="preserve">. URL: </w:t>
      </w:r>
      <w:hyperlink r:id="rId174" w:history="1">
        <w:r w:rsidRPr="00D079D8">
          <w:rPr>
            <w:rStyle w:val="Hyperlink"/>
            <w:rFonts w:eastAsia="Calibri"/>
            <w:sz w:val="20"/>
          </w:rPr>
          <w:t>www.health.govt.nz/system/files/documents/publications/obesity_in_2021-22_16nov.pdf</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160982B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2022l. </w:t>
      </w:r>
      <w:r w:rsidRPr="00D079D8">
        <w:rPr>
          <w:rFonts w:eastAsia="Calibri" w:cs="Segoe UI"/>
          <w:i/>
          <w:noProof/>
          <w:sz w:val="20"/>
          <w:lang w:val="en-US" w:eastAsia="en-US"/>
        </w:rPr>
        <w:t>Questionnaires and Content Guide 2021/22: New Zealand Health Survey</w:t>
      </w:r>
      <w:r w:rsidRPr="00D079D8">
        <w:rPr>
          <w:rFonts w:eastAsia="Calibri" w:cs="Segoe UI"/>
          <w:noProof/>
          <w:sz w:val="20"/>
          <w:lang w:val="en-US" w:eastAsia="en-US"/>
        </w:rPr>
        <w:t xml:space="preserve">. URL: </w:t>
      </w:r>
      <w:hyperlink r:id="rId175" w:history="1">
        <w:r w:rsidRPr="00D079D8">
          <w:rPr>
            <w:rStyle w:val="Hyperlink"/>
            <w:rFonts w:eastAsia="Calibri"/>
            <w:sz w:val="20"/>
          </w:rPr>
          <w:t>www.health.govt.nz/publication/questionnaires-and-content-guide-2021-22-new-zealand-health-surve</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2DA497E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2022m. </w:t>
      </w:r>
      <w:r w:rsidRPr="00D079D8">
        <w:rPr>
          <w:rFonts w:eastAsia="Calibri" w:cs="Segoe UI"/>
          <w:i/>
          <w:noProof/>
          <w:sz w:val="20"/>
          <w:lang w:val="en-US" w:eastAsia="en-US"/>
        </w:rPr>
        <w:t xml:space="preserve">Response to Stats NZ </w:t>
      </w:r>
      <w:r w:rsidRPr="00D079D8" w:rsidDel="002A10AE">
        <w:rPr>
          <w:rFonts w:eastAsia="Calibri" w:cs="Segoe UI"/>
          <w:i/>
          <w:noProof/>
          <w:sz w:val="20"/>
          <w:lang w:val="en-US" w:eastAsia="en-US"/>
        </w:rPr>
        <w:t>r</w:t>
      </w:r>
      <w:r w:rsidRPr="00D079D8">
        <w:rPr>
          <w:rFonts w:eastAsia="Calibri" w:cs="Segoe UI"/>
          <w:i/>
          <w:noProof/>
          <w:sz w:val="20"/>
          <w:lang w:val="en-US" w:eastAsia="en-US"/>
        </w:rPr>
        <w:t>ecommendations for the Health Service User dataset</w:t>
      </w:r>
      <w:r w:rsidRPr="00D079D8">
        <w:rPr>
          <w:rFonts w:eastAsia="Calibri" w:cs="Segoe UI"/>
          <w:noProof/>
          <w:sz w:val="20"/>
          <w:lang w:val="en-US" w:eastAsia="en-US"/>
        </w:rPr>
        <w:t xml:space="preserve">. URL: </w:t>
      </w:r>
      <w:hyperlink r:id="rId176" w:history="1">
        <w:r w:rsidRPr="00D079D8">
          <w:rPr>
            <w:rStyle w:val="Hyperlink"/>
            <w:rFonts w:eastAsia="Calibri"/>
            <w:sz w:val="20"/>
          </w:rPr>
          <w:t>www.health.govt.nz/publication/response-stats-nz-recommendations-health-service-user-dataset</w:t>
        </w:r>
      </w:hyperlink>
      <w:r w:rsidRPr="00D079D8">
        <w:rPr>
          <w:rStyle w:val="Hyperlink"/>
          <w:rFonts w:eastAsia="Calibri"/>
          <w:sz w:val="20"/>
        </w:rPr>
        <w:t xml:space="preserve"> </w:t>
      </w:r>
      <w:r w:rsidRPr="00D079D8">
        <w:rPr>
          <w:rFonts w:eastAsia="Calibri" w:cs="Segoe UI"/>
          <w:noProof/>
          <w:sz w:val="20"/>
          <w:lang w:val="en-US" w:eastAsia="en-US"/>
        </w:rPr>
        <w:t>(accessed 28 October 2022).</w:t>
      </w:r>
    </w:p>
    <w:p w14:paraId="0DAA416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2023a. </w:t>
      </w:r>
      <w:r w:rsidRPr="00D079D8">
        <w:rPr>
          <w:rFonts w:eastAsia="Calibri" w:cs="Segoe UI"/>
          <w:i/>
          <w:noProof/>
          <w:sz w:val="20"/>
          <w:lang w:val="en-US" w:eastAsia="en-US"/>
        </w:rPr>
        <w:t>Annual Data Explorer 2021/22: New Zealand Health Survey (Data file)</w:t>
      </w:r>
      <w:r w:rsidRPr="00D079D8">
        <w:rPr>
          <w:rFonts w:eastAsia="Calibri" w:cs="Segoe UI"/>
          <w:noProof/>
          <w:sz w:val="20"/>
          <w:lang w:val="en-US" w:eastAsia="en-US"/>
        </w:rPr>
        <w:t xml:space="preserve">. URL: </w:t>
      </w:r>
      <w:hyperlink r:id="rId177" w:history="1">
        <w:r w:rsidRPr="00D079D8">
          <w:rPr>
            <w:rStyle w:val="Hyperlink"/>
            <w:rFonts w:eastAsia="Calibri"/>
            <w:sz w:val="20"/>
          </w:rPr>
          <w:t>https://minhealthnz.shinyapps.io/nz-health-survey-2021-22-annual-data-explorer/</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11D4CF8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2023b. </w:t>
      </w:r>
      <w:r w:rsidRPr="00D079D8">
        <w:rPr>
          <w:rFonts w:eastAsia="Calibri" w:cs="Segoe UI"/>
          <w:i/>
          <w:noProof/>
          <w:sz w:val="20"/>
          <w:lang w:val="en-US" w:eastAsia="en-US"/>
        </w:rPr>
        <w:t>Ao Mai te Rā: The anti-racism kaupapa</w:t>
      </w:r>
      <w:r w:rsidRPr="00D079D8">
        <w:rPr>
          <w:rFonts w:eastAsia="Calibri" w:cs="Segoe UI"/>
          <w:noProof/>
          <w:sz w:val="20"/>
          <w:lang w:val="en-US" w:eastAsia="en-US"/>
        </w:rPr>
        <w:t xml:space="preserve">. URL: </w:t>
      </w:r>
      <w:hyperlink r:id="rId178" w:history="1">
        <w:r w:rsidRPr="00D079D8">
          <w:rPr>
            <w:rStyle w:val="Hyperlink"/>
            <w:rFonts w:eastAsia="Calibri"/>
            <w:sz w:val="20"/>
          </w:rPr>
          <w:t>www.health.govt.nz/our-work/populations/maori-health/ao-mai-te-ra-anti-racism-kaupapa</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0915783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2023c. </w:t>
      </w:r>
      <w:r w:rsidRPr="00D079D8">
        <w:rPr>
          <w:rFonts w:eastAsia="Calibri" w:cs="Segoe UI"/>
          <w:i/>
          <w:noProof/>
          <w:sz w:val="20"/>
          <w:lang w:val="en-US" w:eastAsia="en-US"/>
        </w:rPr>
        <w:t>COVID-19 risk among disabled people</w:t>
      </w:r>
      <w:r w:rsidRPr="00D079D8">
        <w:rPr>
          <w:rFonts w:eastAsia="Calibri" w:cs="Segoe UI"/>
          <w:noProof/>
          <w:sz w:val="20"/>
          <w:lang w:val="en-US" w:eastAsia="en-US"/>
        </w:rPr>
        <w:t xml:space="preserve">. URL: </w:t>
      </w:r>
      <w:hyperlink r:id="rId179" w:history="1">
        <w:r w:rsidRPr="00D079D8">
          <w:rPr>
            <w:rStyle w:val="Hyperlink"/>
            <w:rFonts w:eastAsia="Calibri"/>
            <w:sz w:val="20"/>
          </w:rPr>
          <w:t>www.health.govt.nz/publication/covid-19-risk-among-disabled-people</w:t>
        </w:r>
      </w:hyperlink>
      <w:r w:rsidRPr="00D079D8">
        <w:rPr>
          <w:rFonts w:eastAsia="Calibri" w:cs="Segoe UI"/>
          <w:noProof/>
          <w:sz w:val="20"/>
          <w:lang w:val="en-US" w:eastAsia="en-US"/>
        </w:rPr>
        <w:t xml:space="preserve"> (accessed 5 May 2023).</w:t>
      </w:r>
    </w:p>
    <w:p w14:paraId="33E48CB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Manatū Hauora. 2023d. </w:t>
      </w:r>
      <w:r w:rsidRPr="00D079D8">
        <w:rPr>
          <w:rFonts w:eastAsia="Calibri" w:cs="Segoe UI"/>
          <w:i/>
          <w:noProof/>
          <w:sz w:val="20"/>
          <w:lang w:val="en-US" w:eastAsia="en-US"/>
        </w:rPr>
        <w:t>COVID-19 vaccine booster</w:t>
      </w:r>
      <w:r w:rsidRPr="00D079D8">
        <w:rPr>
          <w:rFonts w:eastAsia="Calibri" w:cs="Segoe UI"/>
          <w:noProof/>
          <w:sz w:val="20"/>
          <w:lang w:val="en-US" w:eastAsia="en-US"/>
        </w:rPr>
        <w:t xml:space="preserve">. URL: </w:t>
      </w:r>
      <w:hyperlink r:id="rId180" w:history="1">
        <w:r w:rsidRPr="00D079D8">
          <w:rPr>
            <w:rStyle w:val="Hyperlink"/>
            <w:rFonts w:eastAsia="Calibri"/>
            <w:sz w:val="20"/>
          </w:rPr>
          <w:t>www.healthnavigator.org.nz/medicines/c/covid-19-vaccine-booster/</w:t>
        </w:r>
      </w:hyperlink>
      <w:r w:rsidRPr="00D079D8">
        <w:rPr>
          <w:rStyle w:val="Hyperlink"/>
          <w:rFonts w:eastAsia="Calibri"/>
          <w:sz w:val="20"/>
        </w:rPr>
        <w:t xml:space="preserve"> </w:t>
      </w:r>
      <w:r w:rsidRPr="00D079D8">
        <w:rPr>
          <w:rFonts w:eastAsia="Calibri" w:cs="Segoe UI"/>
          <w:noProof/>
          <w:sz w:val="20"/>
          <w:lang w:val="en-US" w:eastAsia="en-US"/>
        </w:rPr>
        <w:t>(accessed 8 May 2023).</w:t>
      </w:r>
    </w:p>
    <w:p w14:paraId="5F2649E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2023e. </w:t>
      </w:r>
      <w:r w:rsidRPr="00D079D8">
        <w:rPr>
          <w:rFonts w:eastAsia="Calibri" w:cs="Segoe UI"/>
          <w:i/>
          <w:noProof/>
          <w:sz w:val="20"/>
          <w:lang w:val="en-US" w:eastAsia="en-US"/>
        </w:rPr>
        <w:t>COVID-19 vaccines</w:t>
      </w:r>
      <w:r w:rsidRPr="00D079D8">
        <w:rPr>
          <w:rFonts w:eastAsia="Calibri" w:cs="Segoe UI"/>
          <w:noProof/>
          <w:sz w:val="20"/>
          <w:lang w:val="en-US" w:eastAsia="en-US"/>
        </w:rPr>
        <w:t xml:space="preserve">. URL: </w:t>
      </w:r>
      <w:hyperlink r:id="rId181" w:history="1">
        <w:r w:rsidRPr="00D079D8">
          <w:rPr>
            <w:rStyle w:val="Hyperlink"/>
            <w:rFonts w:eastAsia="Calibri"/>
            <w:sz w:val="20"/>
          </w:rPr>
          <w:t>www.health.govt.nz/covid-19-novel-coronavirus/covid-19-vaccines</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6B4D772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eastAsia="en-US"/>
        </w:rPr>
        <w:t xml:space="preserve">Manatū Hauora. 2023f. </w:t>
      </w:r>
      <w:r w:rsidRPr="00D079D8">
        <w:rPr>
          <w:rFonts w:eastAsia="Calibri" w:cs="Segoe UI"/>
          <w:i/>
          <w:noProof/>
          <w:sz w:val="20"/>
          <w:lang w:eastAsia="en-US"/>
        </w:rPr>
        <w:t>HPV immunisation programme</w:t>
      </w:r>
      <w:r w:rsidRPr="00D079D8">
        <w:rPr>
          <w:rFonts w:eastAsia="Calibri" w:cs="Segoe UI"/>
          <w:noProof/>
          <w:sz w:val="20"/>
          <w:lang w:eastAsia="en-US"/>
        </w:rPr>
        <w:t xml:space="preserve">. </w:t>
      </w:r>
      <w:r w:rsidRPr="00D079D8">
        <w:rPr>
          <w:rFonts w:eastAsia="Calibri" w:cs="Segoe UI"/>
          <w:noProof/>
          <w:sz w:val="20"/>
          <w:lang w:val="en-US" w:eastAsia="en-US"/>
        </w:rPr>
        <w:t xml:space="preserve">URL: </w:t>
      </w:r>
      <w:hyperlink r:id="rId182" w:history="1">
        <w:r w:rsidRPr="00D079D8">
          <w:rPr>
            <w:rStyle w:val="Hyperlink"/>
            <w:rFonts w:eastAsia="Calibri"/>
            <w:sz w:val="20"/>
          </w:rPr>
          <w:t>www.health.govt.nz/our-work/preventative-health-wellness/immunisation/hpv-immunisation-programme</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02F9A7C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2023g. </w:t>
      </w:r>
      <w:r w:rsidRPr="00D079D8">
        <w:rPr>
          <w:rFonts w:eastAsia="Calibri" w:cs="Segoe UI"/>
          <w:i/>
          <w:noProof/>
          <w:sz w:val="20"/>
          <w:lang w:val="en-US" w:eastAsia="en-US"/>
        </w:rPr>
        <w:t>Immunisation</w:t>
      </w:r>
      <w:r w:rsidRPr="00D079D8">
        <w:rPr>
          <w:rFonts w:eastAsia="Calibri" w:cs="Segoe UI"/>
          <w:noProof/>
          <w:sz w:val="20"/>
          <w:lang w:val="en-US" w:eastAsia="en-US"/>
        </w:rPr>
        <w:t xml:space="preserve">. URL: </w:t>
      </w:r>
      <w:hyperlink r:id="rId183" w:history="1">
        <w:r w:rsidRPr="00D079D8">
          <w:rPr>
            <w:rStyle w:val="Hyperlink"/>
            <w:rFonts w:eastAsia="Calibri"/>
            <w:sz w:val="20"/>
            <w:szCs w:val="18"/>
          </w:rPr>
          <w:t>www.health.govt.nz/your-health/healthy-living/immunisation</w:t>
        </w:r>
      </w:hyperlink>
      <w:r w:rsidRPr="00D079D8">
        <w:rPr>
          <w:rFonts w:eastAsia="Calibri" w:cs="Segoe UI"/>
          <w:noProof/>
          <w:sz w:val="20"/>
          <w:lang w:val="en-US" w:eastAsia="en-US"/>
        </w:rPr>
        <w:t xml:space="preserve"> (accessed 5 May 2023).</w:t>
      </w:r>
    </w:p>
    <w:p w14:paraId="0C66FC2E"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2023h. </w:t>
      </w:r>
      <w:r w:rsidRPr="00D079D8">
        <w:rPr>
          <w:rFonts w:eastAsia="Calibri" w:cs="Segoe UI"/>
          <w:i/>
          <w:noProof/>
          <w:sz w:val="20"/>
          <w:lang w:val="en-US" w:eastAsia="en-US"/>
        </w:rPr>
        <w:t>National and regional immunisation data</w:t>
      </w:r>
      <w:r w:rsidRPr="00D079D8">
        <w:rPr>
          <w:rFonts w:eastAsia="Calibri" w:cs="Segoe UI"/>
          <w:noProof/>
          <w:sz w:val="20"/>
          <w:lang w:val="en-US" w:eastAsia="en-US"/>
        </w:rPr>
        <w:t xml:space="preserve">. URL: </w:t>
      </w:r>
      <w:hyperlink r:id="rId184" w:history="1">
        <w:r w:rsidRPr="00D079D8">
          <w:rPr>
            <w:rStyle w:val="Hyperlink"/>
            <w:rFonts w:eastAsia="Calibri"/>
            <w:sz w:val="20"/>
          </w:rPr>
          <w:t>www.health.govt.nz/our-work/preventative-health-wellness/immunisation/immunisation-coverage/national-and-regional-immunisation-data</w:t>
        </w:r>
      </w:hyperlink>
      <w:r w:rsidRPr="00D079D8">
        <w:rPr>
          <w:rFonts w:eastAsia="Calibri" w:cs="Segoe UI"/>
          <w:noProof/>
          <w:sz w:val="20"/>
          <w:lang w:val="en-US" w:eastAsia="en-US"/>
        </w:rPr>
        <w:t xml:space="preserve"> (accessed 28 April 2023).</w:t>
      </w:r>
    </w:p>
    <w:p w14:paraId="219BE34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2023i. </w:t>
      </w:r>
      <w:r w:rsidRPr="00D079D8">
        <w:rPr>
          <w:rFonts w:eastAsia="Calibri" w:cs="Segoe UI"/>
          <w:i/>
          <w:noProof/>
          <w:sz w:val="20"/>
          <w:lang w:val="en-US" w:eastAsia="en-US"/>
        </w:rPr>
        <w:t>National Bowel Screening Programme</w:t>
      </w:r>
      <w:r w:rsidRPr="00D079D8">
        <w:rPr>
          <w:rFonts w:eastAsia="Calibri" w:cs="Segoe UI"/>
          <w:noProof/>
          <w:sz w:val="20"/>
          <w:lang w:val="en-US" w:eastAsia="en-US"/>
        </w:rPr>
        <w:t xml:space="preserve">. URL: </w:t>
      </w:r>
      <w:hyperlink r:id="rId185" w:history="1">
        <w:r w:rsidRPr="00D079D8">
          <w:rPr>
            <w:rStyle w:val="Hyperlink"/>
            <w:rFonts w:eastAsia="Calibri"/>
            <w:sz w:val="20"/>
          </w:rPr>
          <w:t>www.health.govt.nz/our-work/preventative-health-wellness/screening/national-bowel-screening-programme</w:t>
        </w:r>
      </w:hyperlink>
      <w:r w:rsidRPr="00D079D8">
        <w:rPr>
          <w:rStyle w:val="Hyperlink"/>
          <w:rFonts w:eastAsia="Calibri"/>
          <w:sz w:val="20"/>
        </w:rPr>
        <w:t xml:space="preserve"> </w:t>
      </w:r>
      <w:r w:rsidRPr="00D079D8">
        <w:rPr>
          <w:rFonts w:eastAsia="Calibri" w:cs="Segoe UI"/>
          <w:noProof/>
          <w:sz w:val="20"/>
          <w:lang w:val="en-US" w:eastAsia="en-US"/>
        </w:rPr>
        <w:t>(accessed 11 May 2023).</w:t>
      </w:r>
    </w:p>
    <w:p w14:paraId="3576FD7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2023j. </w:t>
      </w:r>
      <w:r w:rsidRPr="00D079D8">
        <w:rPr>
          <w:rFonts w:eastAsia="Calibri" w:cs="Segoe UI"/>
          <w:i/>
          <w:noProof/>
          <w:sz w:val="20"/>
          <w:lang w:val="en-US" w:eastAsia="en-US"/>
        </w:rPr>
        <w:t>New Zealand Health Survey</w:t>
      </w:r>
      <w:r w:rsidRPr="00D079D8">
        <w:rPr>
          <w:rFonts w:eastAsia="Calibri" w:cs="Segoe UI"/>
          <w:noProof/>
          <w:sz w:val="20"/>
          <w:lang w:val="en-US" w:eastAsia="en-US"/>
        </w:rPr>
        <w:t xml:space="preserve">. URL: </w:t>
      </w:r>
      <w:hyperlink r:id="rId186" w:history="1">
        <w:r w:rsidRPr="00D079D8">
          <w:rPr>
            <w:rStyle w:val="Hyperlink"/>
            <w:rFonts w:eastAsia="Calibri"/>
            <w:sz w:val="20"/>
          </w:rPr>
          <w:t>www.health.govt.nz/nz-health-statistics/national-collections-and-surveys/surveys/new-zealand-health-survey</w:t>
        </w:r>
      </w:hyperlink>
      <w:r w:rsidRPr="00D079D8">
        <w:rPr>
          <w:rFonts w:eastAsia="Calibri" w:cs="Segoe UI"/>
          <w:noProof/>
          <w:sz w:val="20"/>
          <w:lang w:val="en-US" w:eastAsia="en-US"/>
        </w:rPr>
        <w:t xml:space="preserve"> (accessed 28 May 2023).</w:t>
      </w:r>
    </w:p>
    <w:p w14:paraId="2C2AE3F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Manatū Hauora. 2023k. </w:t>
      </w:r>
      <w:r w:rsidRPr="00D079D8">
        <w:rPr>
          <w:rFonts w:eastAsia="Calibri" w:cs="Segoe UI"/>
          <w:i/>
          <w:noProof/>
          <w:sz w:val="20"/>
          <w:lang w:val="en-US" w:eastAsia="en-US"/>
        </w:rPr>
        <w:t>Obesity</w:t>
      </w:r>
      <w:r w:rsidRPr="00D079D8">
        <w:rPr>
          <w:rFonts w:eastAsia="Calibri" w:cs="Segoe UI"/>
          <w:noProof/>
          <w:sz w:val="20"/>
          <w:lang w:val="en-US" w:eastAsia="en-US"/>
        </w:rPr>
        <w:t xml:space="preserve">. URL: </w:t>
      </w:r>
      <w:hyperlink r:id="rId187" w:history="1">
        <w:r w:rsidRPr="00D079D8">
          <w:rPr>
            <w:rStyle w:val="Hyperlink"/>
            <w:rFonts w:eastAsia="Calibri"/>
            <w:sz w:val="20"/>
          </w:rPr>
          <w:t>www.health.govt.nz/our-work/diseases-and-conditions/obesity</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2ABE16F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Mohan B, Nambiar V. 2020. COVID-19: an insight into SARS-CoV-2 pandemic originated at Wuhan City in Hubei Province of China. </w:t>
      </w:r>
      <w:r w:rsidRPr="00D079D8">
        <w:rPr>
          <w:rFonts w:eastAsia="Calibri" w:cs="Segoe UI"/>
          <w:i/>
          <w:noProof/>
          <w:sz w:val="20"/>
          <w:lang w:val="en-US" w:eastAsia="en-US"/>
        </w:rPr>
        <w:t>Journal of Infectious Diseases and Epidemiology</w:t>
      </w:r>
      <w:r w:rsidRPr="00D079D8">
        <w:rPr>
          <w:rFonts w:eastAsia="Calibri" w:cs="Segoe UI"/>
          <w:noProof/>
          <w:sz w:val="20"/>
          <w:lang w:val="en-US" w:eastAsia="en-US"/>
        </w:rPr>
        <w:t xml:space="preserve"> 6(4): 146.</w:t>
      </w:r>
    </w:p>
    <w:p w14:paraId="44A4F13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National Screening Unit. 2018. </w:t>
      </w:r>
      <w:r w:rsidRPr="00D079D8">
        <w:rPr>
          <w:rFonts w:eastAsia="Calibri" w:cs="Segoe UI"/>
          <w:i/>
          <w:noProof/>
          <w:sz w:val="20"/>
          <w:lang w:val="en-US" w:eastAsia="en-US"/>
        </w:rPr>
        <w:t>BreastScreen Aotearoa</w:t>
      </w:r>
      <w:r w:rsidRPr="00D079D8">
        <w:rPr>
          <w:rFonts w:eastAsia="Calibri" w:cs="Segoe UI"/>
          <w:noProof/>
          <w:sz w:val="20"/>
          <w:lang w:val="en-US" w:eastAsia="en-US"/>
        </w:rPr>
        <w:t xml:space="preserve">. URL: </w:t>
      </w:r>
      <w:hyperlink r:id="rId188" w:history="1">
        <w:r w:rsidRPr="00D079D8">
          <w:rPr>
            <w:rStyle w:val="Hyperlink"/>
            <w:rFonts w:eastAsia="Calibri"/>
            <w:sz w:val="20"/>
          </w:rPr>
          <w:t>www.nsu.govt.nz/health-professionals/breastscreen-aotearoa</w:t>
        </w:r>
      </w:hyperlink>
      <w:r w:rsidRPr="00D079D8">
        <w:rPr>
          <w:rFonts w:eastAsia="Calibri" w:cs="Segoe UI"/>
          <w:noProof/>
          <w:sz w:val="20"/>
          <w:lang w:val="en-US" w:eastAsia="en-US"/>
        </w:rPr>
        <w:t xml:space="preserve"> (accessed 18 May 2023).</w:t>
      </w:r>
    </w:p>
    <w:p w14:paraId="2F299C50"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National Screening Unit. 2022. </w:t>
      </w:r>
      <w:r w:rsidRPr="00D079D8">
        <w:rPr>
          <w:rFonts w:eastAsia="Calibri" w:cs="Segoe UI"/>
          <w:i/>
          <w:noProof/>
          <w:sz w:val="20"/>
          <w:lang w:val="en-US" w:eastAsia="en-US"/>
        </w:rPr>
        <w:t>National Cervical Screening Programme</w:t>
      </w:r>
      <w:r w:rsidRPr="00D079D8">
        <w:rPr>
          <w:rFonts w:eastAsia="Calibri" w:cs="Segoe UI"/>
          <w:noProof/>
          <w:sz w:val="20"/>
          <w:lang w:val="en-US" w:eastAsia="en-US"/>
        </w:rPr>
        <w:t xml:space="preserve">. URL: </w:t>
      </w:r>
      <w:hyperlink r:id="rId189" w:history="1">
        <w:r w:rsidRPr="00D079D8">
          <w:rPr>
            <w:rStyle w:val="Hyperlink"/>
            <w:rFonts w:eastAsia="Calibri"/>
            <w:sz w:val="20"/>
          </w:rPr>
          <w:t>www.nsu.govt.nz/health-professionals/national-cervical-screening-programme</w:t>
        </w:r>
      </w:hyperlink>
      <w:r w:rsidRPr="00D079D8">
        <w:rPr>
          <w:rFonts w:eastAsia="Calibri" w:cs="Segoe UI"/>
          <w:noProof/>
          <w:sz w:val="20"/>
          <w:lang w:val="en-US" w:eastAsia="en-US"/>
        </w:rPr>
        <w:t xml:space="preserve"> (accessed 18 May 2023).</w:t>
      </w:r>
    </w:p>
    <w:p w14:paraId="44D6C05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National Screening Unit. 2023. </w:t>
      </w:r>
      <w:r w:rsidRPr="00D079D8">
        <w:rPr>
          <w:rFonts w:eastAsia="Calibri" w:cs="Segoe UI"/>
          <w:i/>
          <w:noProof/>
          <w:sz w:val="20"/>
          <w:lang w:val="en-US" w:eastAsia="en-US"/>
        </w:rPr>
        <w:t>National Bowel Screening Programme</w:t>
      </w:r>
      <w:r w:rsidRPr="00D079D8">
        <w:rPr>
          <w:rFonts w:eastAsia="Calibri" w:cs="Segoe UI"/>
          <w:noProof/>
          <w:sz w:val="20"/>
          <w:lang w:val="en-US" w:eastAsia="en-US"/>
        </w:rPr>
        <w:t xml:space="preserve">. URL: </w:t>
      </w:r>
      <w:hyperlink r:id="rId190" w:history="1">
        <w:r w:rsidRPr="00D079D8">
          <w:rPr>
            <w:rStyle w:val="Hyperlink"/>
            <w:rFonts w:eastAsia="Calibri"/>
            <w:sz w:val="20"/>
          </w:rPr>
          <w:t>www.nsu.govt.nz/health-professionals/national-bowel-screening-programme</w:t>
        </w:r>
      </w:hyperlink>
      <w:r w:rsidRPr="00D079D8">
        <w:rPr>
          <w:rFonts w:eastAsia="Calibri" w:cs="Segoe UI"/>
          <w:noProof/>
          <w:sz w:val="20"/>
          <w:lang w:val="en-US" w:eastAsia="en-US"/>
        </w:rPr>
        <w:t xml:space="preserve"> (accessed 18 May 2023).</w:t>
      </w:r>
    </w:p>
    <w:p w14:paraId="34381E6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Nationwide Service Framework Library. 2022. </w:t>
      </w:r>
      <w:r w:rsidRPr="00D079D8">
        <w:rPr>
          <w:rFonts w:eastAsia="Calibri" w:cs="Segoe UI"/>
          <w:i/>
          <w:noProof/>
          <w:sz w:val="20"/>
          <w:lang w:val="en-US" w:eastAsia="en-US"/>
        </w:rPr>
        <w:t>Inpatient average length of stay (Data file)</w:t>
      </w:r>
      <w:r w:rsidRPr="00D079D8">
        <w:rPr>
          <w:rFonts w:eastAsia="Calibri" w:cs="Segoe UI"/>
          <w:noProof/>
          <w:sz w:val="20"/>
          <w:lang w:val="en-US" w:eastAsia="en-US"/>
        </w:rPr>
        <w:t xml:space="preserve">. URL: </w:t>
      </w:r>
      <w:hyperlink r:id="rId191" w:history="1">
        <w:r w:rsidRPr="00D079D8">
          <w:rPr>
            <w:rStyle w:val="Hyperlink"/>
            <w:rFonts w:eastAsia="Calibri"/>
            <w:sz w:val="20"/>
          </w:rPr>
          <w:t>https://nsfl.health.govt.nz/accountability/performance-and-monitoring/data-quarterly-reports-and-reporting/inpatient-average</w:t>
        </w:r>
      </w:hyperlink>
      <w:r w:rsidRPr="00D079D8">
        <w:rPr>
          <w:rFonts w:eastAsia="Calibri" w:cs="Segoe UI"/>
          <w:noProof/>
          <w:sz w:val="20"/>
          <w:lang w:val="en-US" w:eastAsia="en-US"/>
        </w:rPr>
        <w:t xml:space="preserve"> (accessed 31 October 2022).</w:t>
      </w:r>
    </w:p>
    <w:p w14:paraId="18B0C95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Nationwide Service Framework Library. 2023. </w:t>
      </w:r>
      <w:r w:rsidRPr="00D079D8">
        <w:rPr>
          <w:rFonts w:eastAsia="Calibri" w:cs="Segoe UI"/>
          <w:i/>
          <w:noProof/>
          <w:sz w:val="20"/>
          <w:lang w:val="en-US" w:eastAsia="en-US"/>
        </w:rPr>
        <w:t>Ambulatory sensitive (avoidable) hospital admissions</w:t>
      </w:r>
      <w:r w:rsidRPr="00D079D8">
        <w:rPr>
          <w:rFonts w:eastAsia="Calibri" w:cs="Segoe UI"/>
          <w:noProof/>
          <w:sz w:val="20"/>
          <w:lang w:val="en-US" w:eastAsia="en-US"/>
        </w:rPr>
        <w:t xml:space="preserve">. URL: </w:t>
      </w:r>
      <w:hyperlink r:id="rId192" w:history="1">
        <w:r w:rsidRPr="00D079D8">
          <w:rPr>
            <w:rStyle w:val="Hyperlink"/>
            <w:rFonts w:eastAsia="Calibri"/>
            <w:sz w:val="20"/>
          </w:rPr>
          <w:t>https://nsfl.health.govt.nz/accountability/performance-and-monitoring/data-quarterly-reports-and-reporting/ambulatory-sensitive</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15CF50E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Neumann D, Yao E, Fenaughty J, et al. 2023. </w:t>
      </w:r>
      <w:r w:rsidRPr="00D079D8">
        <w:rPr>
          <w:rFonts w:eastAsia="Calibri" w:cs="Segoe UI"/>
          <w:i/>
          <w:noProof/>
          <w:sz w:val="20"/>
          <w:lang w:val="en-US" w:eastAsia="en-US"/>
        </w:rPr>
        <w:t>Now we are twelve: ethnic and gender identity at 12 years old</w:t>
      </w:r>
      <w:r w:rsidRPr="00D079D8">
        <w:rPr>
          <w:rFonts w:eastAsia="Calibri" w:cs="Segoe UI"/>
          <w:noProof/>
          <w:sz w:val="20"/>
          <w:lang w:val="en-US" w:eastAsia="en-US"/>
        </w:rPr>
        <w:t xml:space="preserve">. URL: </w:t>
      </w:r>
      <w:hyperlink r:id="rId193" w:history="1">
        <w:r w:rsidRPr="00D079D8">
          <w:rPr>
            <w:rStyle w:val="Hyperlink"/>
            <w:rFonts w:eastAsia="Calibri"/>
            <w:sz w:val="20"/>
          </w:rPr>
          <w:t>https://assets-global.website-files.com/63b7328effdfd4238ae0d82b/6477d04a93cbb8fad11d4a24_NWA12_1_Ethnic%20and%20Gender%20Identity%20FINAL%20PDF%20v2.pdf</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510DD3CC"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Public Policy Institute. 2023. </w:t>
      </w:r>
      <w:r w:rsidRPr="00D079D8">
        <w:rPr>
          <w:rFonts w:eastAsia="Calibri" w:cs="Segoe UI"/>
          <w:i/>
          <w:noProof/>
          <w:sz w:val="20"/>
          <w:lang w:val="en-US" w:eastAsia="en-US"/>
        </w:rPr>
        <w:t>COVID-19 timeline 2022</w:t>
      </w:r>
      <w:r w:rsidRPr="00D079D8">
        <w:rPr>
          <w:rFonts w:eastAsia="Calibri" w:cs="Segoe UI"/>
          <w:noProof/>
          <w:sz w:val="20"/>
          <w:lang w:val="en-US" w:eastAsia="en-US"/>
        </w:rPr>
        <w:t xml:space="preserve">. URL: </w:t>
      </w:r>
      <w:hyperlink r:id="rId194" w:history="1">
        <w:r w:rsidRPr="00D079D8">
          <w:rPr>
            <w:rStyle w:val="Hyperlink"/>
            <w:rFonts w:eastAsia="Calibri"/>
            <w:sz w:val="20"/>
          </w:rPr>
          <w:t>www.policycommons.ac.nz/covid-19-policy-resources/covid-19-timeline/covid-19-timeline-2022/</w:t>
        </w:r>
      </w:hyperlink>
      <w:r w:rsidRPr="00D079D8">
        <w:rPr>
          <w:rFonts w:eastAsia="Calibri" w:cs="Segoe UI"/>
          <w:noProof/>
          <w:sz w:val="20"/>
          <w:lang w:val="en-US" w:eastAsia="en-US"/>
        </w:rPr>
        <w:t xml:space="preserve"> (accessed 18 May 2023).</w:t>
      </w:r>
    </w:p>
    <w:p w14:paraId="30F68BE6"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1936. </w:t>
      </w:r>
      <w:r w:rsidRPr="00D079D8">
        <w:rPr>
          <w:rFonts w:eastAsia="Calibri" w:cs="Segoe UI"/>
          <w:i/>
          <w:noProof/>
          <w:sz w:val="20"/>
          <w:lang w:val="en-US" w:eastAsia="en-US"/>
        </w:rPr>
        <w:t>The New Zealand Official Year-book, 1936</w:t>
      </w:r>
      <w:r w:rsidRPr="00D079D8">
        <w:rPr>
          <w:rFonts w:eastAsia="Calibri" w:cs="Segoe UI"/>
          <w:noProof/>
          <w:sz w:val="20"/>
          <w:lang w:val="en-US" w:eastAsia="en-US"/>
        </w:rPr>
        <w:t xml:space="preserve">. URL: </w:t>
      </w:r>
      <w:hyperlink r:id="rId195" w:anchor="idsect1_1_39354" w:history="1">
        <w:r w:rsidRPr="00D079D8">
          <w:rPr>
            <w:rStyle w:val="Hyperlink"/>
            <w:rFonts w:eastAsia="Calibri"/>
            <w:sz w:val="20"/>
          </w:rPr>
          <w:t>https://www3.stats.govt.nz/New_Zealand_Official_Yearbooks/1936/NZOYB_1936.html#idsect1_1_39354</w:t>
        </w:r>
      </w:hyperlink>
      <w:r w:rsidRPr="00D079D8">
        <w:rPr>
          <w:rFonts w:eastAsia="Calibri" w:cs="Segoe UI"/>
          <w:noProof/>
          <w:sz w:val="20"/>
          <w:lang w:val="en-US" w:eastAsia="en-US"/>
        </w:rPr>
        <w:t xml:space="preserve"> (accessed.</w:t>
      </w:r>
    </w:p>
    <w:p w14:paraId="2C1D090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2014. </w:t>
      </w:r>
      <w:r w:rsidRPr="00D079D8">
        <w:rPr>
          <w:rFonts w:eastAsia="Calibri" w:cs="Segoe UI"/>
          <w:i/>
          <w:noProof/>
          <w:sz w:val="20"/>
          <w:lang w:val="en-US" w:eastAsia="en-US"/>
        </w:rPr>
        <w:t>Disability Survey: 2013</w:t>
      </w:r>
      <w:r w:rsidRPr="00D079D8">
        <w:rPr>
          <w:rFonts w:eastAsia="Calibri" w:cs="Segoe UI"/>
          <w:noProof/>
          <w:sz w:val="20"/>
          <w:lang w:val="en-US" w:eastAsia="en-US"/>
        </w:rPr>
        <w:t xml:space="preserve">. URL: </w:t>
      </w:r>
      <w:hyperlink r:id="rId196" w:history="1">
        <w:r w:rsidRPr="00D079D8">
          <w:rPr>
            <w:rStyle w:val="Hyperlink"/>
            <w:rFonts w:eastAsia="Calibri"/>
            <w:sz w:val="20"/>
          </w:rPr>
          <w:t>www.stats.govt.nz/information-releases/disability-survey-2013</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3C6EAE0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2020a. </w:t>
      </w:r>
      <w:r w:rsidRPr="00D079D8">
        <w:rPr>
          <w:rFonts w:eastAsia="Calibri" w:cs="Segoe UI"/>
          <w:i/>
          <w:noProof/>
          <w:sz w:val="20"/>
          <w:lang w:val="en-US" w:eastAsia="en-US"/>
        </w:rPr>
        <w:t>2018 Census ethnic group summaries</w:t>
      </w:r>
      <w:r w:rsidRPr="00D079D8">
        <w:rPr>
          <w:rFonts w:eastAsia="Calibri" w:cs="Segoe UI"/>
          <w:noProof/>
          <w:sz w:val="20"/>
          <w:lang w:val="en-US" w:eastAsia="en-US"/>
        </w:rPr>
        <w:t xml:space="preserve">. URL: </w:t>
      </w:r>
      <w:hyperlink r:id="rId197" w:history="1">
        <w:r w:rsidRPr="00D079D8">
          <w:rPr>
            <w:rStyle w:val="Hyperlink"/>
            <w:rFonts w:eastAsia="Calibri"/>
            <w:sz w:val="20"/>
          </w:rPr>
          <w:t>www.stats.govt.nz/tools/2018-census-ethnic-group-summaries</w:t>
        </w:r>
      </w:hyperlink>
      <w:r w:rsidRPr="00D079D8">
        <w:rPr>
          <w:rFonts w:eastAsia="Calibri" w:cs="Segoe UI"/>
          <w:noProof/>
          <w:sz w:val="20"/>
          <w:lang w:val="en-US" w:eastAsia="en-US"/>
        </w:rPr>
        <w:t xml:space="preserve"> (accessed 5 May 2023).</w:t>
      </w:r>
    </w:p>
    <w:p w14:paraId="67D7060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2020b. </w:t>
      </w:r>
      <w:r w:rsidRPr="00D079D8">
        <w:rPr>
          <w:rFonts w:eastAsia="Calibri" w:cs="Segoe UI"/>
          <w:i/>
          <w:noProof/>
          <w:sz w:val="20"/>
          <w:lang w:val="en-US" w:eastAsia="en-US"/>
        </w:rPr>
        <w:t>Disabled people fare worse in their home, economic, and social lives</w:t>
      </w:r>
      <w:r w:rsidRPr="00D079D8">
        <w:rPr>
          <w:rFonts w:eastAsia="Calibri" w:cs="Segoe UI"/>
          <w:noProof/>
          <w:sz w:val="20"/>
          <w:lang w:val="en-US" w:eastAsia="en-US"/>
        </w:rPr>
        <w:t xml:space="preserve">. URL: </w:t>
      </w:r>
      <w:hyperlink r:id="rId198" w:history="1">
        <w:r w:rsidRPr="00D079D8">
          <w:rPr>
            <w:rStyle w:val="Hyperlink"/>
            <w:rFonts w:eastAsia="Calibri"/>
            <w:sz w:val="20"/>
          </w:rPr>
          <w:t>www.stats.govt.nz/news/disabled-people-fare-worse-in-their-home-economic-and-social-lives/</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3AFC056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2020c. </w:t>
      </w:r>
      <w:r w:rsidRPr="00D079D8">
        <w:rPr>
          <w:rFonts w:eastAsia="Calibri" w:cs="Segoe UI"/>
          <w:i/>
          <w:noProof/>
          <w:sz w:val="20"/>
          <w:lang w:val="en-US" w:eastAsia="en-US"/>
        </w:rPr>
        <w:t>Housing in Aotearoa: 2020</w:t>
      </w:r>
      <w:r w:rsidRPr="00D079D8">
        <w:rPr>
          <w:rFonts w:eastAsia="Calibri" w:cs="Segoe UI"/>
          <w:noProof/>
          <w:sz w:val="20"/>
          <w:lang w:val="en-US" w:eastAsia="en-US"/>
        </w:rPr>
        <w:t xml:space="preserve">. URL: </w:t>
      </w:r>
      <w:hyperlink r:id="rId199" w:history="1">
        <w:r w:rsidRPr="00D079D8">
          <w:rPr>
            <w:rStyle w:val="Hyperlink"/>
            <w:rFonts w:eastAsia="Calibri"/>
            <w:sz w:val="20"/>
          </w:rPr>
          <w:t>www.stats.govt.nz/reports/housing-in-aotearoa-2020</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5A4FCCF1"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2020d. </w:t>
      </w:r>
      <w:r w:rsidRPr="00D079D8">
        <w:rPr>
          <w:rFonts w:eastAsia="Calibri" w:cs="Segoe UI"/>
          <w:i/>
          <w:noProof/>
          <w:sz w:val="20"/>
          <w:lang w:val="en-US" w:eastAsia="en-US"/>
        </w:rPr>
        <w:t>The state of housing in Aotearoa New Zealand</w:t>
      </w:r>
      <w:r w:rsidRPr="00D079D8">
        <w:rPr>
          <w:rFonts w:eastAsia="Calibri" w:cs="Segoe UI"/>
          <w:noProof/>
          <w:sz w:val="20"/>
          <w:lang w:val="en-US" w:eastAsia="en-US"/>
        </w:rPr>
        <w:t xml:space="preserve">. URL: </w:t>
      </w:r>
      <w:hyperlink r:id="rId200" w:history="1">
        <w:r w:rsidRPr="00D079D8">
          <w:rPr>
            <w:rStyle w:val="Hyperlink"/>
            <w:rFonts w:eastAsia="Calibri"/>
            <w:sz w:val="20"/>
          </w:rPr>
          <w:t>www.stats.govt.nz/infographics/the-state-of-housing-in-aotearoa-new-zealand</w:t>
        </w:r>
      </w:hyperlink>
      <w:r w:rsidRPr="00D079D8">
        <w:rPr>
          <w:rFonts w:eastAsia="Calibri" w:cs="Segoe UI"/>
          <w:noProof/>
          <w:sz w:val="20"/>
          <w:lang w:val="en-US" w:eastAsia="en-US"/>
        </w:rPr>
        <w:t xml:space="preserve"> (accessed 5 May 2020).</w:t>
      </w:r>
    </w:p>
    <w:p w14:paraId="47C42A23"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2020e. </w:t>
      </w:r>
      <w:r w:rsidRPr="00D079D8">
        <w:rPr>
          <w:rFonts w:eastAsia="Calibri" w:cs="Segoe UI"/>
          <w:i/>
          <w:noProof/>
          <w:sz w:val="20"/>
          <w:lang w:val="en-US" w:eastAsia="en-US"/>
        </w:rPr>
        <w:t>Wellbeing outcomes worse for sole parents</w:t>
      </w:r>
      <w:r w:rsidRPr="00D079D8">
        <w:rPr>
          <w:rFonts w:eastAsia="Calibri" w:cs="Segoe UI"/>
          <w:noProof/>
          <w:sz w:val="20"/>
          <w:lang w:val="en-US" w:eastAsia="en-US"/>
        </w:rPr>
        <w:t xml:space="preserve">. URL: </w:t>
      </w:r>
      <w:hyperlink r:id="rId201" w:history="1">
        <w:r w:rsidRPr="00D079D8">
          <w:rPr>
            <w:rStyle w:val="Hyperlink"/>
            <w:rFonts w:eastAsia="Calibri"/>
            <w:sz w:val="20"/>
          </w:rPr>
          <w:t>www.stats.govt.nz/news/wellbeing-outcomes-worse-for-sole-parents/</w:t>
        </w:r>
      </w:hyperlink>
      <w:r w:rsidRPr="00D079D8">
        <w:rPr>
          <w:rFonts w:eastAsia="Calibri" w:cs="Segoe UI"/>
          <w:noProof/>
          <w:sz w:val="20"/>
          <w:lang w:val="en-US" w:eastAsia="en-US"/>
        </w:rPr>
        <w:t xml:space="preserve"> (accessed 5 May 2023).</w:t>
      </w:r>
    </w:p>
    <w:p w14:paraId="22180D96"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2021a. </w:t>
      </w:r>
      <w:r w:rsidRPr="00D079D8">
        <w:rPr>
          <w:rFonts w:eastAsia="Calibri" w:cs="Segoe UI"/>
          <w:i/>
          <w:noProof/>
          <w:sz w:val="20"/>
          <w:lang w:val="en-US" w:eastAsia="en-US"/>
        </w:rPr>
        <w:t>General Social Survey (GSS)</w:t>
      </w:r>
      <w:r w:rsidRPr="00D079D8">
        <w:rPr>
          <w:rFonts w:eastAsia="Calibri" w:cs="Segoe UI"/>
          <w:noProof/>
          <w:sz w:val="20"/>
          <w:lang w:val="en-US" w:eastAsia="en-US"/>
        </w:rPr>
        <w:t xml:space="preserve">. URL: </w:t>
      </w:r>
      <w:hyperlink r:id="rId202" w:history="1">
        <w:r w:rsidRPr="00D079D8">
          <w:rPr>
            <w:rStyle w:val="Hyperlink"/>
            <w:rFonts w:eastAsia="Calibri"/>
            <w:sz w:val="20"/>
          </w:rPr>
          <w:t>https://datainfoplus.stats.govt.nz/Item/nz.govt.stats/2ed50ad6-8ab8-47df-883d-210a51b50043</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6E6F4CB9"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2021b. </w:t>
      </w:r>
      <w:r w:rsidRPr="00D079D8">
        <w:rPr>
          <w:rFonts w:eastAsia="Calibri" w:cs="Segoe UI"/>
          <w:i/>
          <w:noProof/>
          <w:sz w:val="20"/>
          <w:lang w:val="en-US" w:eastAsia="en-US"/>
        </w:rPr>
        <w:t>Growth in life expectancy slows</w:t>
      </w:r>
      <w:r w:rsidRPr="00D079D8">
        <w:rPr>
          <w:rFonts w:eastAsia="Calibri" w:cs="Segoe UI"/>
          <w:noProof/>
          <w:sz w:val="20"/>
          <w:lang w:val="en-US" w:eastAsia="en-US"/>
        </w:rPr>
        <w:t xml:space="preserve">. URL: </w:t>
      </w:r>
      <w:hyperlink r:id="rId203" w:history="1">
        <w:r w:rsidRPr="00D079D8">
          <w:rPr>
            <w:rStyle w:val="Hyperlink"/>
            <w:rFonts w:eastAsia="Calibri"/>
            <w:sz w:val="20"/>
          </w:rPr>
          <w:t>www.stats.govt.nz/news/growth-in-life-expectancy-slows/</w:t>
        </w:r>
      </w:hyperlink>
      <w:r w:rsidRPr="00D079D8">
        <w:rPr>
          <w:rStyle w:val="Hyperlink"/>
          <w:rFonts w:eastAsia="Calibri"/>
          <w:sz w:val="20"/>
        </w:rPr>
        <w:t xml:space="preserve"> </w:t>
      </w:r>
      <w:r w:rsidRPr="00D079D8">
        <w:rPr>
          <w:rFonts w:eastAsia="Calibri" w:cs="Segoe UI"/>
          <w:noProof/>
          <w:sz w:val="20"/>
          <w:lang w:val="en-US" w:eastAsia="en-US"/>
        </w:rPr>
        <w:t>(accessed 8 May 2023).</w:t>
      </w:r>
    </w:p>
    <w:p w14:paraId="14C05E3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2021c. </w:t>
      </w:r>
      <w:r w:rsidRPr="00D079D8">
        <w:rPr>
          <w:rFonts w:eastAsia="Calibri" w:cs="Segoe UI"/>
          <w:i/>
          <w:noProof/>
          <w:sz w:val="20"/>
          <w:lang w:val="en-US" w:eastAsia="en-US"/>
        </w:rPr>
        <w:t>National and subnational period life tables: 2017–2019</w:t>
      </w:r>
      <w:r w:rsidRPr="00D079D8">
        <w:rPr>
          <w:rFonts w:eastAsia="Calibri" w:cs="Segoe UI"/>
          <w:noProof/>
          <w:sz w:val="20"/>
          <w:lang w:val="en-US" w:eastAsia="en-US"/>
        </w:rPr>
        <w:t xml:space="preserve">. URL: </w:t>
      </w:r>
      <w:hyperlink r:id="rId204" w:history="1">
        <w:r w:rsidRPr="00D079D8">
          <w:rPr>
            <w:rStyle w:val="Hyperlink"/>
            <w:rFonts w:eastAsia="Calibri"/>
            <w:sz w:val="20"/>
          </w:rPr>
          <w:t>www.stats.govt.nz/information-releases/national-and-subnational-period-life-tables-2017-2019</w:t>
        </w:r>
      </w:hyperlink>
      <w:r w:rsidRPr="00D079D8">
        <w:rPr>
          <w:rStyle w:val="Hyperlink"/>
          <w:rFonts w:eastAsia="Calibri"/>
          <w:sz w:val="20"/>
        </w:rPr>
        <w:t xml:space="preserve"> </w:t>
      </w:r>
      <w:r w:rsidRPr="00D079D8">
        <w:rPr>
          <w:rFonts w:eastAsia="Calibri" w:cs="Segoe UI"/>
          <w:noProof/>
          <w:sz w:val="20"/>
          <w:lang w:val="en-US" w:eastAsia="en-US"/>
        </w:rPr>
        <w:t>(accessed 28 October 2022).</w:t>
      </w:r>
    </w:p>
    <w:p w14:paraId="13FAAE55"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2021d. </w:t>
      </w:r>
      <w:r w:rsidRPr="00D079D8">
        <w:rPr>
          <w:rFonts w:eastAsia="Calibri" w:cs="Segoe UI"/>
          <w:i/>
          <w:noProof/>
          <w:sz w:val="20"/>
          <w:lang w:val="en-US" w:eastAsia="en-US"/>
        </w:rPr>
        <w:t>National ethnic population projections: 2018(base)–2043</w:t>
      </w:r>
      <w:r w:rsidRPr="00D079D8">
        <w:rPr>
          <w:rFonts w:eastAsia="Calibri" w:cs="Segoe UI"/>
          <w:noProof/>
          <w:sz w:val="20"/>
          <w:lang w:val="en-US" w:eastAsia="en-US"/>
        </w:rPr>
        <w:t xml:space="preserve">. URL: </w:t>
      </w:r>
      <w:hyperlink r:id="rId205" w:history="1">
        <w:r w:rsidRPr="00D079D8">
          <w:rPr>
            <w:rStyle w:val="Hyperlink"/>
            <w:rFonts w:eastAsia="Calibri"/>
            <w:sz w:val="20"/>
          </w:rPr>
          <w:t>www.stats.govt.nz/information-releases/national-ethnic-population-projections-2018base-2043</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4FA252D3"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2021e. </w:t>
      </w:r>
      <w:r w:rsidRPr="00D079D8">
        <w:rPr>
          <w:rFonts w:eastAsia="Calibri" w:cs="Segoe UI"/>
          <w:i/>
          <w:noProof/>
          <w:sz w:val="20"/>
          <w:lang w:val="en-US" w:eastAsia="en-US"/>
        </w:rPr>
        <w:t>Wellbeing statistics: A year in review (June 2020 to March 2021 quarter)</w:t>
      </w:r>
      <w:r w:rsidRPr="00D079D8">
        <w:rPr>
          <w:rFonts w:eastAsia="Calibri" w:cs="Segoe UI"/>
          <w:noProof/>
          <w:sz w:val="20"/>
          <w:lang w:val="en-US" w:eastAsia="en-US"/>
        </w:rPr>
        <w:t xml:space="preserve">. URL: </w:t>
      </w:r>
      <w:hyperlink r:id="rId206" w:history="1">
        <w:r w:rsidRPr="00D079D8">
          <w:rPr>
            <w:rStyle w:val="Hyperlink"/>
            <w:rFonts w:eastAsia="Calibri"/>
            <w:sz w:val="20"/>
          </w:rPr>
          <w:t>www.stats.govt.nz/reports/wellbeing-statistics-a-year-in-review-june-2020-to-march-2021-quarter</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1DC91C5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2022a. </w:t>
      </w:r>
      <w:r w:rsidRPr="00D079D8">
        <w:rPr>
          <w:rFonts w:eastAsia="Calibri" w:cs="Segoe UI"/>
          <w:i/>
          <w:noProof/>
          <w:sz w:val="20"/>
          <w:lang w:val="en-US" w:eastAsia="en-US"/>
        </w:rPr>
        <w:t>How we measure child poverty</w:t>
      </w:r>
      <w:r w:rsidRPr="00D079D8">
        <w:rPr>
          <w:rFonts w:eastAsia="Calibri" w:cs="Segoe UI"/>
          <w:noProof/>
          <w:sz w:val="20"/>
          <w:lang w:val="en-US" w:eastAsia="en-US"/>
        </w:rPr>
        <w:t xml:space="preserve">. URL: </w:t>
      </w:r>
      <w:hyperlink r:id="rId207" w:history="1">
        <w:r w:rsidRPr="00D079D8">
          <w:rPr>
            <w:rStyle w:val="Hyperlink"/>
            <w:rFonts w:eastAsia="Calibri"/>
            <w:sz w:val="20"/>
          </w:rPr>
          <w:t>www.stats.govt.nz/infographics/how-we-measure-child-poverty/</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6B42F0BE"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2022b. </w:t>
      </w:r>
      <w:r w:rsidRPr="00D079D8">
        <w:rPr>
          <w:rFonts w:eastAsia="Calibri" w:cs="Segoe UI"/>
          <w:i/>
          <w:noProof/>
          <w:sz w:val="20"/>
          <w:lang w:val="en-US" w:eastAsia="en-US"/>
        </w:rPr>
        <w:t>LGBT+ population of Aotearoa: Year ended June 2021</w:t>
      </w:r>
      <w:r w:rsidRPr="00D079D8">
        <w:rPr>
          <w:rFonts w:eastAsia="Calibri" w:cs="Segoe UI"/>
          <w:noProof/>
          <w:sz w:val="20"/>
          <w:lang w:val="en-US" w:eastAsia="en-US"/>
        </w:rPr>
        <w:t xml:space="preserve">. URL: </w:t>
      </w:r>
      <w:hyperlink r:id="rId208" w:history="1">
        <w:r w:rsidRPr="00D079D8">
          <w:rPr>
            <w:rStyle w:val="Hyperlink"/>
            <w:rFonts w:eastAsia="Calibri"/>
            <w:sz w:val="20"/>
          </w:rPr>
          <w:t>www.stats.govt.nz/information-releases/lgbt-plus-population-of-aotearoa-year-ended-june-2021</w:t>
        </w:r>
      </w:hyperlink>
      <w:r w:rsidRPr="00D079D8">
        <w:rPr>
          <w:rFonts w:eastAsia="Calibri" w:cs="Segoe UI"/>
          <w:noProof/>
          <w:sz w:val="20"/>
          <w:lang w:val="en-US" w:eastAsia="en-US"/>
        </w:rPr>
        <w:t xml:space="preserve"> (accessed 11 May 2023).</w:t>
      </w:r>
    </w:p>
    <w:p w14:paraId="4F31FD69"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Stats NZ. 2022c. </w:t>
      </w:r>
      <w:r w:rsidRPr="00D079D8">
        <w:rPr>
          <w:rFonts w:eastAsia="Calibri" w:cs="Segoe UI"/>
          <w:i/>
          <w:noProof/>
          <w:sz w:val="20"/>
          <w:lang w:val="en-US" w:eastAsia="en-US"/>
        </w:rPr>
        <w:t>National population projections: 2022(base)–2073</w:t>
      </w:r>
      <w:r w:rsidRPr="00D079D8">
        <w:rPr>
          <w:rFonts w:eastAsia="Calibri" w:cs="Segoe UI"/>
          <w:noProof/>
          <w:sz w:val="20"/>
          <w:lang w:val="en-US" w:eastAsia="en-US"/>
        </w:rPr>
        <w:t xml:space="preserve">. URL: </w:t>
      </w:r>
      <w:hyperlink r:id="rId209" w:history="1">
        <w:r w:rsidRPr="00D079D8">
          <w:rPr>
            <w:rStyle w:val="Hyperlink"/>
            <w:rFonts w:eastAsia="Calibri"/>
            <w:sz w:val="20"/>
          </w:rPr>
          <w:t>www.stats.govt.nz/information-releases/national-population-projections-2022base2073/</w:t>
        </w:r>
      </w:hyperlink>
      <w:r w:rsidRPr="00D079D8">
        <w:rPr>
          <w:rFonts w:eastAsia="Calibri" w:cs="Segoe UI"/>
          <w:noProof/>
          <w:sz w:val="20"/>
          <w:lang w:val="en-US" w:eastAsia="en-US"/>
        </w:rPr>
        <w:t xml:space="preserve"> (accessed 10 May 2023).</w:t>
      </w:r>
    </w:p>
    <w:p w14:paraId="0EFFEC9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2022d. </w:t>
      </w:r>
      <w:r w:rsidRPr="00D079D8">
        <w:rPr>
          <w:rFonts w:eastAsia="Calibri" w:cs="Segoe UI"/>
          <w:i/>
          <w:noProof/>
          <w:sz w:val="20"/>
          <w:lang w:val="en-US" w:eastAsia="en-US"/>
        </w:rPr>
        <w:t>One in three children projected to be Māori</w:t>
      </w:r>
      <w:r w:rsidRPr="00D079D8">
        <w:rPr>
          <w:rFonts w:eastAsia="Calibri" w:cs="Segoe UI"/>
          <w:noProof/>
          <w:sz w:val="20"/>
          <w:lang w:val="en-US" w:eastAsia="en-US"/>
        </w:rPr>
        <w:t xml:space="preserve">. URL: </w:t>
      </w:r>
      <w:hyperlink r:id="rId210" w:history="1">
        <w:r w:rsidRPr="00D079D8">
          <w:rPr>
            <w:rStyle w:val="Hyperlink"/>
            <w:rFonts w:eastAsia="Calibri"/>
            <w:sz w:val="20"/>
          </w:rPr>
          <w:t>www.stats.govt.nz/news/one-in-three-children-projected-to-be-maori/</w:t>
        </w:r>
      </w:hyperlink>
      <w:r w:rsidRPr="00D079D8">
        <w:rPr>
          <w:rFonts w:eastAsia="Calibri" w:cs="Segoe UI"/>
          <w:noProof/>
          <w:sz w:val="20"/>
          <w:lang w:val="en-US" w:eastAsia="en-US"/>
        </w:rPr>
        <w:t xml:space="preserve"> (accessed 5 May 2023).</w:t>
      </w:r>
    </w:p>
    <w:p w14:paraId="0467BDF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2022e. </w:t>
      </w:r>
      <w:r w:rsidRPr="00D079D8">
        <w:rPr>
          <w:rFonts w:eastAsia="Calibri" w:cs="Segoe UI"/>
          <w:i/>
          <w:noProof/>
          <w:sz w:val="20"/>
          <w:lang w:val="en-US" w:eastAsia="en-US"/>
        </w:rPr>
        <w:t>Persistent labour market gaps remain for disabled people</w:t>
      </w:r>
      <w:r w:rsidRPr="00D079D8">
        <w:rPr>
          <w:rFonts w:eastAsia="Calibri" w:cs="Segoe UI"/>
          <w:noProof/>
          <w:sz w:val="20"/>
          <w:lang w:val="en-US" w:eastAsia="en-US"/>
        </w:rPr>
        <w:t xml:space="preserve">. URL: </w:t>
      </w:r>
      <w:hyperlink r:id="rId211" w:history="1">
        <w:r w:rsidRPr="00D079D8">
          <w:rPr>
            <w:rStyle w:val="Hyperlink"/>
            <w:rFonts w:eastAsia="Calibri"/>
            <w:sz w:val="20"/>
          </w:rPr>
          <w:t>www.stats.govt.nz/news/persistent-labour-market-gaps-remain-for-disabled-people/</w:t>
        </w:r>
      </w:hyperlink>
      <w:r w:rsidRPr="00D079D8">
        <w:rPr>
          <w:rFonts w:eastAsia="Calibri" w:cs="Segoe UI"/>
          <w:noProof/>
          <w:sz w:val="20"/>
          <w:lang w:val="en-US" w:eastAsia="en-US"/>
        </w:rPr>
        <w:t xml:space="preserve"> (accessed 5 May 2023).</w:t>
      </w:r>
    </w:p>
    <w:p w14:paraId="6BD1E85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2022f. </w:t>
      </w:r>
      <w:r w:rsidRPr="00D079D8">
        <w:rPr>
          <w:rFonts w:eastAsia="Calibri" w:cs="Segoe UI"/>
          <w:i/>
          <w:noProof/>
          <w:sz w:val="20"/>
          <w:lang w:val="en-US" w:eastAsia="en-US"/>
        </w:rPr>
        <w:t>Review of Health Service User population methodology</w:t>
      </w:r>
      <w:r w:rsidRPr="00D079D8">
        <w:rPr>
          <w:rFonts w:eastAsia="Calibri" w:cs="Segoe UI"/>
          <w:noProof/>
          <w:sz w:val="20"/>
          <w:lang w:val="en-US" w:eastAsia="en-US"/>
        </w:rPr>
        <w:t xml:space="preserve">. URL: </w:t>
      </w:r>
      <w:hyperlink r:id="rId212" w:history="1">
        <w:r w:rsidRPr="00D079D8">
          <w:rPr>
            <w:rStyle w:val="Hyperlink"/>
            <w:rFonts w:eastAsia="Calibri"/>
            <w:sz w:val="20"/>
          </w:rPr>
          <w:t>www.stats.govt.nz/reports/review-of-health-service-user-population-methodology/</w:t>
        </w:r>
      </w:hyperlink>
      <w:r w:rsidRPr="00D079D8">
        <w:rPr>
          <w:rFonts w:eastAsia="Calibri" w:cs="Segoe UI"/>
          <w:noProof/>
          <w:sz w:val="20"/>
          <w:lang w:val="en-US" w:eastAsia="en-US"/>
        </w:rPr>
        <w:t xml:space="preserve"> (accessed 28 October 2022).</w:t>
      </w:r>
    </w:p>
    <w:p w14:paraId="1D2D5C3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2022g. </w:t>
      </w:r>
      <w:r w:rsidRPr="00D079D8">
        <w:rPr>
          <w:rFonts w:eastAsia="Calibri" w:cs="Segoe UI"/>
          <w:i/>
          <w:noProof/>
          <w:sz w:val="20"/>
          <w:lang w:val="en-US" w:eastAsia="en-US"/>
        </w:rPr>
        <w:t>Wellbeing statistics: 2021</w:t>
      </w:r>
      <w:r w:rsidRPr="00D079D8">
        <w:rPr>
          <w:rFonts w:eastAsia="Calibri" w:cs="Segoe UI"/>
          <w:noProof/>
          <w:sz w:val="20"/>
          <w:lang w:val="en-US" w:eastAsia="en-US"/>
        </w:rPr>
        <w:t xml:space="preserve">. URL: </w:t>
      </w:r>
      <w:hyperlink r:id="rId213" w:history="1">
        <w:r w:rsidRPr="00D079D8">
          <w:rPr>
            <w:rStyle w:val="Hyperlink"/>
            <w:rFonts w:eastAsia="Calibri"/>
            <w:sz w:val="20"/>
          </w:rPr>
          <w:t>www.stats.govt.nz/information-releases/wellbeing-statistics-2021/</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7E2741C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2023a. </w:t>
      </w:r>
      <w:r w:rsidRPr="00D079D8">
        <w:rPr>
          <w:rFonts w:eastAsia="Calibri" w:cs="Segoe UI"/>
          <w:i/>
          <w:noProof/>
          <w:sz w:val="20"/>
          <w:lang w:val="en-US" w:eastAsia="en-US"/>
        </w:rPr>
        <w:t>Births and deaths: Year ended December 2022 (including abridged period life table)</w:t>
      </w:r>
      <w:r w:rsidRPr="00D079D8">
        <w:rPr>
          <w:rFonts w:eastAsia="Calibri" w:cs="Segoe UI"/>
          <w:noProof/>
          <w:sz w:val="20"/>
          <w:lang w:val="en-US" w:eastAsia="en-US"/>
        </w:rPr>
        <w:t xml:space="preserve">. URL: </w:t>
      </w:r>
      <w:hyperlink r:id="rId214" w:history="1">
        <w:r w:rsidRPr="00D079D8">
          <w:rPr>
            <w:rStyle w:val="Hyperlink"/>
            <w:rFonts w:eastAsia="Calibri"/>
            <w:sz w:val="20"/>
          </w:rPr>
          <w:t>www.stats.govt.nz/information-releases/births-and-deaths-year-ended-december-2022-including-abridged-period-life-table/</w:t>
        </w:r>
      </w:hyperlink>
      <w:r w:rsidRPr="00D079D8">
        <w:rPr>
          <w:rFonts w:eastAsia="Calibri" w:cs="Segoe UI"/>
          <w:noProof/>
          <w:sz w:val="20"/>
          <w:lang w:val="en-US" w:eastAsia="en-US"/>
        </w:rPr>
        <w:t xml:space="preserve"> (accessed 5 May 2023).</w:t>
      </w:r>
    </w:p>
    <w:p w14:paraId="3F23F55F"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2023b. </w:t>
      </w:r>
      <w:r w:rsidRPr="00D079D8">
        <w:rPr>
          <w:rFonts w:eastAsia="Calibri" w:cs="Segoe UI"/>
          <w:i/>
          <w:noProof/>
          <w:sz w:val="20"/>
          <w:lang w:val="en-US" w:eastAsia="en-US"/>
        </w:rPr>
        <w:t>Child poverty statistics show no annual change in the year ended June 2022</w:t>
      </w:r>
      <w:r w:rsidRPr="00D079D8">
        <w:rPr>
          <w:rFonts w:eastAsia="Calibri" w:cs="Segoe UI"/>
          <w:noProof/>
          <w:sz w:val="20"/>
          <w:lang w:val="en-US" w:eastAsia="en-US"/>
        </w:rPr>
        <w:t xml:space="preserve">. URL: </w:t>
      </w:r>
      <w:hyperlink r:id="rId215" w:history="1">
        <w:r w:rsidRPr="00D079D8">
          <w:rPr>
            <w:rStyle w:val="Hyperlink"/>
            <w:rFonts w:eastAsia="Calibri"/>
            <w:sz w:val="20"/>
          </w:rPr>
          <w:t>www.stats.govt.nz/news/child-poverty-statistics-show-no-annual-change-in-the-year-ended-june-2022/</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637147F1"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2023c. </w:t>
      </w:r>
      <w:r w:rsidRPr="00D079D8">
        <w:rPr>
          <w:rFonts w:eastAsia="Calibri" w:cs="Segoe UI"/>
          <w:i/>
          <w:noProof/>
          <w:sz w:val="20"/>
          <w:lang w:val="en-US" w:eastAsia="en-US"/>
        </w:rPr>
        <w:t>Deaths increase by ten percent in 2022</w:t>
      </w:r>
      <w:r w:rsidRPr="00D079D8">
        <w:rPr>
          <w:rFonts w:eastAsia="Calibri" w:cs="Segoe UI"/>
          <w:noProof/>
          <w:sz w:val="20"/>
          <w:lang w:val="en-US" w:eastAsia="en-US"/>
        </w:rPr>
        <w:t xml:space="preserve">. URL: </w:t>
      </w:r>
      <w:hyperlink r:id="rId216" w:history="1">
        <w:r w:rsidRPr="00D079D8">
          <w:rPr>
            <w:rStyle w:val="Hyperlink"/>
            <w:rFonts w:eastAsia="Calibri"/>
            <w:sz w:val="20"/>
          </w:rPr>
          <w:t>www.stats.govt.nz/news/deaths-increase-by-ten-percent-in-2022/</w:t>
        </w:r>
      </w:hyperlink>
      <w:r w:rsidRPr="00D079D8">
        <w:rPr>
          <w:rFonts w:eastAsia="Calibri" w:cs="Segoe UI"/>
          <w:noProof/>
          <w:sz w:val="20"/>
          <w:lang w:val="en-US" w:eastAsia="en-US"/>
        </w:rPr>
        <w:t xml:space="preserve"> (accessed 5 May 2023).</w:t>
      </w:r>
    </w:p>
    <w:p w14:paraId="738E7296" w14:textId="731BB6AC"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2023d. </w:t>
      </w:r>
      <w:r w:rsidR="00CA0D73">
        <w:rPr>
          <w:rFonts w:eastAsia="Calibri" w:cs="Segoe UI"/>
          <w:i/>
          <w:noProof/>
          <w:sz w:val="20"/>
          <w:lang w:val="en-US" w:eastAsia="en-US"/>
        </w:rPr>
        <w:t>Infoshare</w:t>
      </w:r>
      <w:r w:rsidRPr="00D079D8">
        <w:rPr>
          <w:rFonts w:eastAsia="Calibri" w:cs="Segoe UI"/>
          <w:noProof/>
          <w:sz w:val="20"/>
          <w:lang w:val="en-US" w:eastAsia="en-US"/>
        </w:rPr>
        <w:t xml:space="preserve">. URL: </w:t>
      </w:r>
      <w:r w:rsidRPr="00064713">
        <w:rPr>
          <w:rFonts w:eastAsia="Calibri"/>
          <w:b/>
          <w:color w:val="595959" w:themeColor="text1" w:themeTint="A6"/>
          <w:sz w:val="20"/>
        </w:rPr>
        <w:t>https://infoshare.stats.govt.nz/</w:t>
      </w:r>
      <w:r w:rsidRPr="00D079D8">
        <w:rPr>
          <w:rStyle w:val="Hyperlink"/>
          <w:rFonts w:eastAsia="Calibri"/>
          <w:sz w:val="20"/>
        </w:rPr>
        <w:t xml:space="preserve"> </w:t>
      </w:r>
      <w:r w:rsidRPr="00D079D8">
        <w:rPr>
          <w:rFonts w:eastAsia="Calibri" w:cs="Segoe UI"/>
          <w:noProof/>
          <w:sz w:val="20"/>
          <w:lang w:val="en-US" w:eastAsia="en-US"/>
        </w:rPr>
        <w:t>(accessed 28 April 2023).</w:t>
      </w:r>
    </w:p>
    <w:p w14:paraId="2BFD8B7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2023e. </w:t>
      </w:r>
      <w:r w:rsidRPr="00D079D8">
        <w:rPr>
          <w:rFonts w:eastAsia="Calibri" w:cs="Segoe UI"/>
          <w:i/>
          <w:noProof/>
          <w:sz w:val="20"/>
          <w:lang w:val="en-US" w:eastAsia="en-US"/>
        </w:rPr>
        <w:t>Household Disability Survey 2023: Final content</w:t>
      </w:r>
      <w:r w:rsidRPr="00D079D8">
        <w:rPr>
          <w:rFonts w:eastAsia="Calibri" w:cs="Segoe UI"/>
          <w:noProof/>
          <w:sz w:val="20"/>
          <w:lang w:val="en-US" w:eastAsia="en-US"/>
        </w:rPr>
        <w:t xml:space="preserve">. URL: </w:t>
      </w:r>
      <w:hyperlink r:id="rId217" w:history="1">
        <w:r w:rsidRPr="00D079D8">
          <w:rPr>
            <w:rStyle w:val="Hyperlink"/>
            <w:rFonts w:eastAsia="Calibri"/>
            <w:sz w:val="20"/>
          </w:rPr>
          <w:t>www.stats.govt.nz/reports/household-disability-survey-2023-final-content/</w:t>
        </w:r>
      </w:hyperlink>
      <w:r w:rsidRPr="00D079D8">
        <w:rPr>
          <w:rFonts w:eastAsia="Calibri" w:cs="Segoe UI"/>
          <w:noProof/>
          <w:sz w:val="20"/>
          <w:lang w:val="en-US" w:eastAsia="en-US"/>
        </w:rPr>
        <w:t xml:space="preserve"> (accessed 11 May 2023).</w:t>
      </w:r>
    </w:p>
    <w:p w14:paraId="559D1FB9"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2023f. </w:t>
      </w:r>
      <w:r w:rsidRPr="00D079D8">
        <w:rPr>
          <w:rFonts w:eastAsia="Calibri" w:cs="Segoe UI"/>
          <w:i/>
          <w:noProof/>
          <w:sz w:val="20"/>
          <w:lang w:val="en-US" w:eastAsia="en-US"/>
        </w:rPr>
        <w:t>Population</w:t>
      </w:r>
      <w:r w:rsidRPr="00D079D8">
        <w:rPr>
          <w:rFonts w:eastAsia="Calibri" w:cs="Segoe UI"/>
          <w:noProof/>
          <w:sz w:val="20"/>
          <w:lang w:val="en-US" w:eastAsia="en-US"/>
        </w:rPr>
        <w:t xml:space="preserve">. URL: </w:t>
      </w:r>
      <w:hyperlink r:id="rId218" w:history="1">
        <w:r w:rsidRPr="00D079D8">
          <w:rPr>
            <w:rStyle w:val="Hyperlink"/>
            <w:rFonts w:eastAsia="Calibri"/>
            <w:sz w:val="20"/>
          </w:rPr>
          <w:t>www.stats.govt.nz/topics/population</w:t>
        </w:r>
      </w:hyperlink>
      <w:r w:rsidRPr="00D079D8">
        <w:rPr>
          <w:rFonts w:eastAsia="Calibri" w:cs="Segoe UI"/>
          <w:noProof/>
          <w:sz w:val="20"/>
          <w:lang w:val="en-US" w:eastAsia="en-US"/>
        </w:rPr>
        <w:t xml:space="preserve"> (accessed 5 May 2023).</w:t>
      </w:r>
    </w:p>
    <w:p w14:paraId="59FDA396"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Stats NZ. 2023g. </w:t>
      </w:r>
      <w:r w:rsidRPr="00D079D8">
        <w:rPr>
          <w:rFonts w:eastAsia="Calibri" w:cs="Segoe UI"/>
          <w:i/>
          <w:noProof/>
          <w:sz w:val="20"/>
          <w:lang w:val="en-US" w:eastAsia="en-US"/>
        </w:rPr>
        <w:t>Return to net migration gains in 2022</w:t>
      </w:r>
      <w:r w:rsidRPr="00D079D8">
        <w:rPr>
          <w:rFonts w:eastAsia="Calibri" w:cs="Segoe UI"/>
          <w:noProof/>
          <w:sz w:val="20"/>
          <w:lang w:val="en-US" w:eastAsia="en-US"/>
        </w:rPr>
        <w:t xml:space="preserve">. URL: </w:t>
      </w:r>
      <w:hyperlink r:id="rId219" w:history="1">
        <w:r w:rsidRPr="00D079D8">
          <w:rPr>
            <w:rStyle w:val="Hyperlink"/>
            <w:rFonts w:eastAsia="Calibri"/>
            <w:sz w:val="20"/>
          </w:rPr>
          <w:t>www.stats.govt.nz/news/return-to-net-migration-gains-in-2022/</w:t>
        </w:r>
      </w:hyperlink>
      <w:r w:rsidRPr="00D079D8">
        <w:rPr>
          <w:rFonts w:eastAsia="Calibri" w:cs="Segoe UI"/>
          <w:noProof/>
          <w:sz w:val="20"/>
          <w:lang w:val="en-US" w:eastAsia="en-US"/>
        </w:rPr>
        <w:t xml:space="preserve"> (accessed 5 May 2023).</w:t>
      </w:r>
    </w:p>
    <w:p w14:paraId="3FD4002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Aho o Te Kahu Cancer Control Agency. 2022. </w:t>
      </w:r>
      <w:r w:rsidRPr="00D079D8">
        <w:rPr>
          <w:rFonts w:eastAsia="Calibri" w:cs="Segoe UI"/>
          <w:i/>
          <w:noProof/>
          <w:sz w:val="20"/>
          <w:lang w:val="en-US" w:eastAsia="en-US"/>
        </w:rPr>
        <w:t>Cancer Quality Performance Indicator Programme</w:t>
      </w:r>
      <w:r w:rsidRPr="00D079D8">
        <w:rPr>
          <w:rFonts w:eastAsia="Calibri" w:cs="Segoe UI"/>
          <w:noProof/>
          <w:sz w:val="20"/>
          <w:lang w:val="en-US" w:eastAsia="en-US"/>
        </w:rPr>
        <w:t xml:space="preserve">. URL: </w:t>
      </w:r>
      <w:hyperlink r:id="rId220" w:history="1">
        <w:r w:rsidRPr="00D079D8">
          <w:rPr>
            <w:rStyle w:val="Hyperlink"/>
            <w:rFonts w:eastAsia="Calibri"/>
            <w:sz w:val="20"/>
          </w:rPr>
          <w:t>https://teaho.govt.nz/reports/qpi</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601B334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Aho o Te Kahu Cancer Control Agency. 2023a. </w:t>
      </w:r>
      <w:r w:rsidRPr="00D079D8">
        <w:rPr>
          <w:rFonts w:eastAsia="Calibri" w:cs="Segoe UI"/>
          <w:i/>
          <w:noProof/>
          <w:sz w:val="20"/>
          <w:lang w:val="en-US" w:eastAsia="en-US"/>
        </w:rPr>
        <w:t>Bowel cancer quality performance indicators</w:t>
      </w:r>
      <w:r w:rsidRPr="00D079D8">
        <w:rPr>
          <w:rFonts w:eastAsia="Calibri" w:cs="Segoe UI"/>
          <w:noProof/>
          <w:sz w:val="20"/>
          <w:lang w:val="en-US" w:eastAsia="en-US"/>
        </w:rPr>
        <w:t xml:space="preserve">. URL: </w:t>
      </w:r>
      <w:hyperlink r:id="rId221" w:history="1">
        <w:r w:rsidRPr="00D079D8">
          <w:rPr>
            <w:rStyle w:val="Hyperlink"/>
            <w:rFonts w:eastAsia="Calibri"/>
            <w:sz w:val="20"/>
          </w:rPr>
          <w:t>https://teaho.govt.nz/reports/qpi/qpi-bowel</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2A7C6B10"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Aho o Te Kahu Cancer Control Agency. 2023b. </w:t>
      </w:r>
      <w:r w:rsidRPr="00D079D8">
        <w:rPr>
          <w:rFonts w:eastAsia="Calibri" w:cs="Segoe UI"/>
          <w:i/>
          <w:noProof/>
          <w:sz w:val="20"/>
          <w:lang w:val="en-US" w:eastAsia="en-US"/>
        </w:rPr>
        <w:t>Cancer in numbers in Aotearoa New Zealand</w:t>
      </w:r>
      <w:r w:rsidRPr="00D079D8">
        <w:rPr>
          <w:rFonts w:eastAsia="Calibri" w:cs="Segoe UI"/>
          <w:noProof/>
          <w:sz w:val="20"/>
          <w:lang w:val="en-US" w:eastAsia="en-US"/>
        </w:rPr>
        <w:t xml:space="preserve">. URL: </w:t>
      </w:r>
      <w:hyperlink r:id="rId222" w:history="1">
        <w:r w:rsidRPr="00D079D8">
          <w:rPr>
            <w:rStyle w:val="Hyperlink"/>
            <w:rFonts w:eastAsia="Calibri"/>
            <w:sz w:val="20"/>
          </w:rPr>
          <w:t>https://teaho.govt.nz/cancer-numbers</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3A4C314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Aho o Te Kahu Cancer Control Agency. 2023c. </w:t>
      </w:r>
      <w:r w:rsidRPr="00D079D8">
        <w:rPr>
          <w:rFonts w:eastAsia="Calibri" w:cs="Segoe UI"/>
          <w:i/>
          <w:noProof/>
          <w:sz w:val="20"/>
          <w:lang w:val="en-US" w:eastAsia="en-US"/>
        </w:rPr>
        <w:t>Lung cancer quality performance indicators</w:t>
      </w:r>
      <w:r w:rsidRPr="00D079D8">
        <w:rPr>
          <w:rFonts w:eastAsia="Calibri" w:cs="Segoe UI"/>
          <w:noProof/>
          <w:sz w:val="20"/>
          <w:lang w:val="en-US" w:eastAsia="en-US"/>
        </w:rPr>
        <w:t xml:space="preserve">. URL: </w:t>
      </w:r>
      <w:hyperlink r:id="rId223" w:history="1">
        <w:r w:rsidRPr="00D079D8">
          <w:rPr>
            <w:rStyle w:val="Hyperlink"/>
            <w:rFonts w:eastAsia="Calibri"/>
            <w:sz w:val="20"/>
          </w:rPr>
          <w:t>https://teaho.govt.nz/reports/qpi/qpi-lung</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1D05F3F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Te Aho o Te Kahu Cancer Control Agency. 2023d. </w:t>
      </w:r>
      <w:r w:rsidRPr="00D079D8">
        <w:rPr>
          <w:rFonts w:eastAsia="Calibri" w:cs="Segoe UI"/>
          <w:i/>
          <w:noProof/>
          <w:sz w:val="20"/>
          <w:lang w:val="en-US" w:eastAsia="en-US"/>
        </w:rPr>
        <w:t>What is happening over time? A look at the rates of new cancers and cancer deaths over time in Aotearoa</w:t>
      </w:r>
      <w:r w:rsidRPr="00D079D8">
        <w:rPr>
          <w:rFonts w:eastAsia="Calibri" w:cs="Segoe UI"/>
          <w:noProof/>
          <w:sz w:val="20"/>
          <w:lang w:val="en-US" w:eastAsia="en-US"/>
        </w:rPr>
        <w:t xml:space="preserve">. URL: </w:t>
      </w:r>
      <w:hyperlink r:id="rId224" w:history="1">
        <w:r w:rsidRPr="00D079D8">
          <w:rPr>
            <w:rStyle w:val="Hyperlink"/>
            <w:rFonts w:eastAsia="Calibri"/>
            <w:sz w:val="20"/>
          </w:rPr>
          <w:t>https://teaho.govt.nz/cancer-numbers/cancer-rates</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6CDEFCE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Tāhū Hauora. 2021. </w:t>
      </w:r>
      <w:r w:rsidRPr="00D079D8">
        <w:rPr>
          <w:rFonts w:eastAsia="Calibri" w:cs="Segoe UI"/>
          <w:i/>
          <w:noProof/>
          <w:sz w:val="20"/>
          <w:lang w:val="en-US" w:eastAsia="en-US"/>
        </w:rPr>
        <w:t>Patient experience</w:t>
      </w:r>
      <w:r w:rsidRPr="00D079D8">
        <w:rPr>
          <w:rFonts w:eastAsia="Calibri" w:cs="Segoe UI"/>
          <w:noProof/>
          <w:sz w:val="20"/>
          <w:lang w:val="en-US" w:eastAsia="en-US"/>
        </w:rPr>
        <w:t xml:space="preserve">. URL: </w:t>
      </w:r>
      <w:hyperlink r:id="rId225" w:history="1">
        <w:r w:rsidRPr="00D079D8">
          <w:rPr>
            <w:rStyle w:val="Hyperlink"/>
            <w:rFonts w:eastAsia="Calibri"/>
            <w:sz w:val="20"/>
          </w:rPr>
          <w:t>www.hqsc.govt.nz/our-data/health-quality-and-safety-indicators/patient-experience/</w:t>
        </w:r>
      </w:hyperlink>
      <w:r w:rsidRPr="00D079D8">
        <w:rPr>
          <w:rStyle w:val="Hyperlink"/>
          <w:rFonts w:eastAsia="Calibri"/>
          <w:sz w:val="20"/>
        </w:rPr>
        <w:t xml:space="preserve"> </w:t>
      </w:r>
      <w:r w:rsidRPr="00D079D8">
        <w:rPr>
          <w:rFonts w:eastAsia="Calibri" w:cs="Segoe UI"/>
          <w:noProof/>
          <w:sz w:val="20"/>
          <w:lang w:val="en-US" w:eastAsia="en-US"/>
        </w:rPr>
        <w:t>(accessed 27 April 2023).</w:t>
      </w:r>
    </w:p>
    <w:p w14:paraId="2B9E5CD6"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Tāhū Hauora. 2022a. </w:t>
      </w:r>
      <w:r w:rsidRPr="00D079D8">
        <w:rPr>
          <w:rFonts w:eastAsia="Calibri" w:cs="Segoe UI"/>
          <w:i/>
          <w:noProof/>
          <w:sz w:val="20"/>
          <w:lang w:val="en-US" w:eastAsia="en-US"/>
        </w:rPr>
        <w:t>Fifteenth Annual Report of the Perinatal and Maternal Mortality Review Committee | Te Pūrongo ā-Tau Tekau mā Rima o te Komiti Arotake Mate Pēpi, Mate Whaea Hoki</w:t>
      </w:r>
      <w:r w:rsidRPr="00D079D8">
        <w:rPr>
          <w:rFonts w:eastAsia="Calibri" w:cs="Segoe UI"/>
          <w:noProof/>
          <w:sz w:val="20"/>
          <w:lang w:val="en-US" w:eastAsia="en-US"/>
        </w:rPr>
        <w:t xml:space="preserve">. URL: </w:t>
      </w:r>
      <w:hyperlink r:id="rId226" w:history="1">
        <w:r w:rsidRPr="00D079D8">
          <w:rPr>
            <w:rStyle w:val="Hyperlink"/>
            <w:rFonts w:eastAsia="Calibri"/>
            <w:sz w:val="20"/>
          </w:rPr>
          <w:t>www.hqsc.govt.nz/assets/Our-work/Mortality-review-committee/PMMRC/Publications-resources/15thPMMRC-report-final.pdf</w:t>
        </w:r>
      </w:hyperlink>
      <w:r w:rsidRPr="00D079D8">
        <w:rPr>
          <w:rFonts w:eastAsia="Calibri" w:cs="Segoe UI"/>
          <w:noProof/>
          <w:sz w:val="20"/>
          <w:lang w:val="en-US" w:eastAsia="en-US"/>
        </w:rPr>
        <w:t xml:space="preserve"> (accessed 18 May 2023).</w:t>
      </w:r>
    </w:p>
    <w:p w14:paraId="6F88041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Tāhū Hauora. 2022b. </w:t>
      </w:r>
      <w:r w:rsidRPr="00D079D8">
        <w:rPr>
          <w:rFonts w:eastAsia="Calibri" w:cs="Segoe UI"/>
          <w:i/>
          <w:noProof/>
          <w:sz w:val="20"/>
          <w:lang w:val="en-US" w:eastAsia="en-US"/>
        </w:rPr>
        <w:t>Information about deaths of babies and mothers in Aotearoa New Zealand</w:t>
      </w:r>
      <w:r w:rsidRPr="00D079D8">
        <w:rPr>
          <w:rFonts w:eastAsia="Calibri" w:cs="Segoe UI"/>
          <w:noProof/>
          <w:sz w:val="20"/>
          <w:lang w:val="en-US" w:eastAsia="en-US"/>
        </w:rPr>
        <w:t xml:space="preserve">. URL: </w:t>
      </w:r>
      <w:hyperlink r:id="rId227" w:history="1">
        <w:r w:rsidRPr="00D079D8">
          <w:rPr>
            <w:rStyle w:val="Hyperlink"/>
            <w:rFonts w:eastAsia="Calibri"/>
            <w:sz w:val="20"/>
          </w:rPr>
          <w:t>www.hqsc.govt.nz/our-work/mortality-review-committees/perinatal-and-maternal-mortality-review-committee/information-about-deaths-of-babies-and-mothers-in-aotearoa-new-zealand/</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6CD7B219"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Tāhū Hauora. 2023. </w:t>
      </w:r>
      <w:r w:rsidRPr="00D079D8">
        <w:rPr>
          <w:rFonts w:eastAsia="Calibri" w:cs="Segoe UI"/>
          <w:i/>
          <w:noProof/>
          <w:sz w:val="20"/>
          <w:lang w:val="en-US" w:eastAsia="en-US"/>
        </w:rPr>
        <w:t>He Ara Aupiki, He Ara Auheke: Aotearoa New Zealand patient experience survey (Data file)</w:t>
      </w:r>
      <w:r w:rsidRPr="00D079D8">
        <w:rPr>
          <w:rFonts w:eastAsia="Calibri" w:cs="Segoe UI"/>
          <w:noProof/>
          <w:sz w:val="20"/>
          <w:lang w:val="en-US" w:eastAsia="en-US"/>
        </w:rPr>
        <w:t xml:space="preserve">. URL: </w:t>
      </w:r>
      <w:hyperlink r:id="rId228" w:history="1">
        <w:r w:rsidRPr="00D079D8">
          <w:rPr>
            <w:rStyle w:val="Hyperlink"/>
            <w:rFonts w:eastAsia="Calibri"/>
            <w:sz w:val="20"/>
          </w:rPr>
          <w:t>https://reports.hqsc.govt.nz/AHI-explorer/</w:t>
        </w:r>
      </w:hyperlink>
      <w:r w:rsidRPr="00D079D8">
        <w:rPr>
          <w:rFonts w:eastAsia="Calibri" w:cs="Segoe UI"/>
          <w:noProof/>
          <w:sz w:val="20"/>
          <w:lang w:val="en-US" w:eastAsia="en-US"/>
        </w:rPr>
        <w:t xml:space="preserve"> (accessed 27 April 2023).</w:t>
      </w:r>
    </w:p>
    <w:p w14:paraId="6CF5D69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2022. </w:t>
      </w:r>
      <w:r w:rsidRPr="00D079D8">
        <w:rPr>
          <w:rFonts w:eastAsia="Calibri" w:cs="Segoe UI"/>
          <w:i/>
          <w:noProof/>
          <w:sz w:val="20"/>
          <w:lang w:val="en-US" w:eastAsia="en-US"/>
        </w:rPr>
        <w:t>Suicide web tool (Data file)</w:t>
      </w:r>
      <w:r w:rsidRPr="00D079D8">
        <w:rPr>
          <w:rFonts w:eastAsia="Calibri" w:cs="Segoe UI"/>
          <w:noProof/>
          <w:sz w:val="20"/>
          <w:lang w:val="en-US" w:eastAsia="en-US"/>
        </w:rPr>
        <w:t xml:space="preserve">. URL: </w:t>
      </w:r>
      <w:hyperlink r:id="rId229" w:history="1">
        <w:r w:rsidRPr="00D079D8">
          <w:rPr>
            <w:rStyle w:val="Hyperlink"/>
            <w:rFonts w:eastAsia="Calibri"/>
            <w:sz w:val="20"/>
          </w:rPr>
          <w:t>https://tewhatuora.shinyapps.io/suicide-web-tool/</w:t>
        </w:r>
      </w:hyperlink>
      <w:r w:rsidRPr="00D079D8">
        <w:rPr>
          <w:rStyle w:val="Hyperlink"/>
          <w:rFonts w:eastAsia="Calibri"/>
          <w:sz w:val="20"/>
        </w:rPr>
        <w:t xml:space="preserve"> </w:t>
      </w:r>
      <w:r w:rsidRPr="00D079D8">
        <w:rPr>
          <w:rFonts w:eastAsia="Calibri" w:cs="Segoe UI"/>
          <w:noProof/>
          <w:sz w:val="20"/>
          <w:lang w:val="en-US" w:eastAsia="en-US"/>
        </w:rPr>
        <w:t>(accessed 15 April 2023).</w:t>
      </w:r>
    </w:p>
    <w:p w14:paraId="645A0A0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2023a. </w:t>
      </w:r>
      <w:r w:rsidRPr="00D079D8">
        <w:rPr>
          <w:rFonts w:eastAsia="Calibri" w:cs="Segoe UI"/>
          <w:i/>
          <w:noProof/>
          <w:sz w:val="20"/>
          <w:lang w:val="en-US" w:eastAsia="en-US"/>
        </w:rPr>
        <w:t>About Access and Choice</w:t>
      </w:r>
      <w:r w:rsidRPr="00D079D8">
        <w:rPr>
          <w:rFonts w:eastAsia="Calibri" w:cs="Segoe UI"/>
          <w:noProof/>
          <w:sz w:val="20"/>
          <w:lang w:val="en-US" w:eastAsia="en-US"/>
        </w:rPr>
        <w:t xml:space="preserve">. URL: </w:t>
      </w:r>
      <w:hyperlink r:id="rId230" w:history="1">
        <w:r w:rsidRPr="00D079D8">
          <w:rPr>
            <w:rStyle w:val="Hyperlink"/>
            <w:rFonts w:eastAsia="Calibri"/>
            <w:sz w:val="20"/>
          </w:rPr>
          <w:t>www.wellbeingsupport.health.nz/about-access-and-choice/</w:t>
        </w:r>
      </w:hyperlink>
      <w:r w:rsidRPr="00D079D8">
        <w:rPr>
          <w:rFonts w:eastAsia="Calibri" w:cs="Segoe UI"/>
          <w:noProof/>
          <w:sz w:val="20"/>
          <w:lang w:val="en-US" w:eastAsia="en-US"/>
        </w:rPr>
        <w:t xml:space="preserve"> (accessed 5 May 2023).</w:t>
      </w:r>
    </w:p>
    <w:p w14:paraId="55A8C380"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2023b. </w:t>
      </w:r>
      <w:r w:rsidRPr="00D079D8">
        <w:rPr>
          <w:rFonts w:eastAsia="Calibri" w:cs="Segoe UI"/>
          <w:i/>
          <w:noProof/>
          <w:sz w:val="20"/>
          <w:lang w:val="en-US" w:eastAsia="en-US"/>
        </w:rPr>
        <w:t>Acute care</w:t>
      </w:r>
      <w:r w:rsidRPr="00D079D8">
        <w:rPr>
          <w:rFonts w:eastAsia="Calibri" w:cs="Segoe UI"/>
          <w:noProof/>
          <w:sz w:val="20"/>
          <w:lang w:val="en-US" w:eastAsia="en-US"/>
        </w:rPr>
        <w:t xml:space="preserve">. URL: </w:t>
      </w:r>
      <w:hyperlink r:id="rId231" w:history="1">
        <w:r w:rsidRPr="00D079D8">
          <w:rPr>
            <w:rStyle w:val="Hyperlink"/>
            <w:rFonts w:eastAsia="Calibri"/>
            <w:sz w:val="20"/>
          </w:rPr>
          <w:t>www.tewhatuora.govt.nz/our-health-system/hospitals-and-specialist-services/acute-care</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0FA9842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2023c. </w:t>
      </w:r>
      <w:r w:rsidRPr="00D079D8">
        <w:rPr>
          <w:rFonts w:eastAsia="Calibri" w:cs="Segoe UI"/>
          <w:i/>
          <w:noProof/>
          <w:sz w:val="20"/>
          <w:lang w:val="en-US" w:eastAsia="en-US"/>
        </w:rPr>
        <w:t>BreastScreen Aotearoa interactive coverage data tool (Data file)</w:t>
      </w:r>
      <w:r w:rsidRPr="00D079D8">
        <w:rPr>
          <w:rFonts w:eastAsia="Calibri" w:cs="Segoe UI"/>
          <w:noProof/>
          <w:sz w:val="20"/>
          <w:lang w:val="en-US" w:eastAsia="en-US"/>
        </w:rPr>
        <w:t xml:space="preserve">. URL: </w:t>
      </w:r>
      <w:hyperlink r:id="rId232" w:history="1">
        <w:r w:rsidRPr="00D079D8">
          <w:rPr>
            <w:rStyle w:val="Hyperlink"/>
            <w:rFonts w:eastAsia="Calibri"/>
            <w:sz w:val="20"/>
          </w:rPr>
          <w:t>https://tewhatuora.shinyapps.io/nsu-bsa-coverage/</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2779D943"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2023d. </w:t>
      </w:r>
      <w:r w:rsidRPr="00D079D8">
        <w:rPr>
          <w:rFonts w:eastAsia="Calibri" w:cs="Segoe UI"/>
          <w:i/>
          <w:noProof/>
          <w:sz w:val="20"/>
          <w:lang w:val="en-US" w:eastAsia="en-US"/>
        </w:rPr>
        <w:t>Cancer web tool (Data file)</w:t>
      </w:r>
      <w:r w:rsidRPr="00D079D8">
        <w:rPr>
          <w:rFonts w:eastAsia="Calibri" w:cs="Segoe UI"/>
          <w:noProof/>
          <w:sz w:val="20"/>
          <w:lang w:val="en-US" w:eastAsia="en-US"/>
        </w:rPr>
        <w:t xml:space="preserve">. URL: </w:t>
      </w:r>
      <w:hyperlink r:id="rId233" w:history="1">
        <w:r w:rsidRPr="00D079D8">
          <w:rPr>
            <w:rStyle w:val="Hyperlink"/>
            <w:rFonts w:eastAsia="Calibri"/>
            <w:sz w:val="20"/>
          </w:rPr>
          <w:t>https://tewhatuora.shinyapps.io/cancer-web-tool/</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2DE7276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2023e. </w:t>
      </w:r>
      <w:r w:rsidRPr="00D079D8">
        <w:rPr>
          <w:rFonts w:eastAsia="Calibri" w:cs="Segoe UI"/>
          <w:i/>
          <w:noProof/>
          <w:sz w:val="20"/>
          <w:lang w:val="en-US" w:eastAsia="en-US"/>
        </w:rPr>
        <w:t>COVID-19 trends and insights</w:t>
      </w:r>
      <w:r w:rsidRPr="00D079D8">
        <w:rPr>
          <w:rFonts w:eastAsia="Calibri" w:cs="Segoe UI"/>
          <w:noProof/>
          <w:sz w:val="20"/>
          <w:lang w:val="en-US" w:eastAsia="en-US"/>
        </w:rPr>
        <w:t xml:space="preserve">. URL: </w:t>
      </w:r>
      <w:hyperlink r:id="rId234" w:history="1">
        <w:r w:rsidRPr="00D079D8">
          <w:rPr>
            <w:rStyle w:val="Hyperlink"/>
            <w:rFonts w:eastAsia="Calibri"/>
            <w:sz w:val="20"/>
          </w:rPr>
          <w:t>https://tewhatuora.shinyapps.io/covid19/</w:t>
        </w:r>
      </w:hyperlink>
      <w:r w:rsidRPr="00D079D8">
        <w:rPr>
          <w:rFonts w:eastAsia="Calibri" w:cs="Segoe UI"/>
          <w:noProof/>
          <w:sz w:val="20"/>
          <w:lang w:val="en-US" w:eastAsia="en-US"/>
        </w:rPr>
        <w:t xml:space="preserve"> (accessed 28 April 2023).</w:t>
      </w:r>
    </w:p>
    <w:p w14:paraId="60456B6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2023f. </w:t>
      </w:r>
      <w:r w:rsidRPr="00D079D8">
        <w:rPr>
          <w:rFonts w:eastAsia="Calibri" w:cs="Segoe UI"/>
          <w:i/>
          <w:noProof/>
          <w:sz w:val="20"/>
          <w:lang w:val="en-US" w:eastAsia="en-US"/>
        </w:rPr>
        <w:t>Enrolment with a general practice and primary health organisation</w:t>
      </w:r>
      <w:r w:rsidRPr="00D079D8">
        <w:rPr>
          <w:rFonts w:eastAsia="Calibri" w:cs="Segoe UI"/>
          <w:noProof/>
          <w:sz w:val="20"/>
          <w:lang w:val="en-US" w:eastAsia="en-US"/>
        </w:rPr>
        <w:t xml:space="preserve">. URL: </w:t>
      </w:r>
      <w:hyperlink r:id="rId235" w:history="1">
        <w:r w:rsidRPr="00D079D8">
          <w:rPr>
            <w:rStyle w:val="Hyperlink"/>
            <w:rFonts w:eastAsia="Calibri"/>
            <w:sz w:val="20"/>
          </w:rPr>
          <w:t>www.tewhatuora.govt.nz/our-health-system/primary-care-sector/primary-health-organisations/enrolment-with-a-general-practice-and-primary-health-organisation/</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653FE800"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2023g. </w:t>
      </w:r>
      <w:r w:rsidRPr="00D079D8">
        <w:rPr>
          <w:rFonts w:eastAsia="Calibri" w:cs="Segoe UI"/>
          <w:i/>
          <w:noProof/>
          <w:sz w:val="20"/>
          <w:lang w:val="en-US" w:eastAsia="en-US"/>
        </w:rPr>
        <w:t>Fetal and infant deaths web tool (Data file)</w:t>
      </w:r>
      <w:r w:rsidRPr="00D079D8">
        <w:rPr>
          <w:rFonts w:eastAsia="Calibri" w:cs="Segoe UI"/>
          <w:noProof/>
          <w:sz w:val="20"/>
          <w:lang w:val="en-US" w:eastAsia="en-US"/>
        </w:rPr>
        <w:t xml:space="preserve">. URL: </w:t>
      </w:r>
      <w:hyperlink r:id="rId236" w:history="1">
        <w:r w:rsidRPr="00D079D8">
          <w:rPr>
            <w:rStyle w:val="Hyperlink"/>
            <w:rFonts w:eastAsia="Calibri"/>
            <w:sz w:val="20"/>
          </w:rPr>
          <w:t>https://tewhatuora.shinyapps.io/fetal-and-infant-deaths-web-tool/</w:t>
        </w:r>
      </w:hyperlink>
      <w:r w:rsidRPr="00D079D8">
        <w:rPr>
          <w:rFonts w:eastAsia="Calibri" w:cs="Segoe UI"/>
          <w:noProof/>
          <w:sz w:val="20"/>
          <w:lang w:val="en-US" w:eastAsia="en-US"/>
        </w:rPr>
        <w:t xml:space="preserve"> (accessed 28 April 2023).</w:t>
      </w:r>
    </w:p>
    <w:p w14:paraId="1F8B23DD"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2023h. </w:t>
      </w:r>
      <w:r w:rsidRPr="00D079D8">
        <w:rPr>
          <w:rFonts w:eastAsia="Calibri" w:cs="Segoe UI"/>
          <w:i/>
          <w:noProof/>
          <w:sz w:val="20"/>
          <w:lang w:val="en-US" w:eastAsia="en-US"/>
        </w:rPr>
        <w:t>Mortality web tool (Data file)</w:t>
      </w:r>
      <w:r w:rsidRPr="00D079D8">
        <w:rPr>
          <w:rFonts w:eastAsia="Calibri" w:cs="Segoe UI"/>
          <w:noProof/>
          <w:sz w:val="20"/>
          <w:lang w:val="en-US" w:eastAsia="en-US"/>
        </w:rPr>
        <w:t xml:space="preserve">. URL: </w:t>
      </w:r>
      <w:hyperlink r:id="rId237" w:history="1">
        <w:r w:rsidRPr="00D079D8">
          <w:rPr>
            <w:rStyle w:val="Hyperlink"/>
            <w:rFonts w:eastAsia="Calibri"/>
            <w:sz w:val="20"/>
          </w:rPr>
          <w:t>https://tewhatuora.shinyapps.io/mortality-web-tool/</w:t>
        </w:r>
      </w:hyperlink>
      <w:r w:rsidRPr="00D079D8">
        <w:rPr>
          <w:rFonts w:eastAsia="Calibri" w:cs="Segoe UI"/>
          <w:noProof/>
          <w:sz w:val="20"/>
          <w:lang w:val="en-US" w:eastAsia="en-US"/>
        </w:rPr>
        <w:t xml:space="preserve"> (accessed 28 April 2023).</w:t>
      </w:r>
    </w:p>
    <w:p w14:paraId="61D3738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2023i. </w:t>
      </w:r>
      <w:r w:rsidRPr="00D079D8">
        <w:rPr>
          <w:rFonts w:eastAsia="Calibri" w:cs="Segoe UI"/>
          <w:i/>
          <w:noProof/>
          <w:sz w:val="20"/>
          <w:lang w:val="en-US" w:eastAsia="en-US"/>
        </w:rPr>
        <w:t>National Cervical Screening Programme interactive coverage data tool (Data file)</w:t>
      </w:r>
      <w:r w:rsidRPr="00D079D8">
        <w:rPr>
          <w:rFonts w:eastAsia="Calibri" w:cs="Segoe UI"/>
          <w:noProof/>
          <w:sz w:val="20"/>
          <w:lang w:val="en-US" w:eastAsia="en-US"/>
        </w:rPr>
        <w:t xml:space="preserve">. URL: </w:t>
      </w:r>
      <w:hyperlink r:id="rId238" w:history="1">
        <w:r w:rsidRPr="00D079D8">
          <w:rPr>
            <w:rStyle w:val="Hyperlink"/>
            <w:rFonts w:eastAsia="Calibri"/>
            <w:sz w:val="20"/>
          </w:rPr>
          <w:t>https://tewhatuora.shinyapps.io/nsu-ncsp-coverage/</w:t>
        </w:r>
      </w:hyperlink>
      <w:r w:rsidRPr="00D079D8">
        <w:rPr>
          <w:rStyle w:val="Hyperlink"/>
          <w:rFonts w:eastAsia="Calibri"/>
          <w:sz w:val="20"/>
        </w:rPr>
        <w:t xml:space="preserve"> </w:t>
      </w:r>
      <w:r w:rsidRPr="00D079D8">
        <w:rPr>
          <w:rFonts w:eastAsia="Calibri" w:cs="Segoe UI"/>
          <w:noProof/>
          <w:sz w:val="20"/>
          <w:lang w:val="en-US" w:eastAsia="en-US"/>
        </w:rPr>
        <w:t>(accessed 28 April 2023).</w:t>
      </w:r>
    </w:p>
    <w:p w14:paraId="32F5BDCA"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Te Whatu Ora. 2023j. </w:t>
      </w:r>
      <w:r w:rsidRPr="00D079D8">
        <w:rPr>
          <w:rFonts w:eastAsia="Calibri" w:cs="Segoe UI"/>
          <w:i/>
          <w:noProof/>
          <w:sz w:val="20"/>
          <w:lang w:val="en-US" w:eastAsia="en-US"/>
        </w:rPr>
        <w:t>The National Immunisation Schedule - HE1308</w:t>
      </w:r>
      <w:r w:rsidRPr="00D079D8">
        <w:rPr>
          <w:rFonts w:eastAsia="Calibri" w:cs="Segoe UI"/>
          <w:noProof/>
          <w:sz w:val="20"/>
          <w:lang w:val="en-US" w:eastAsia="en-US"/>
        </w:rPr>
        <w:t xml:space="preserve">. URL: </w:t>
      </w:r>
      <w:hyperlink r:id="rId239" w:history="1">
        <w:r w:rsidRPr="00D079D8">
          <w:rPr>
            <w:rStyle w:val="Hyperlink"/>
            <w:rFonts w:eastAsia="Calibri"/>
            <w:sz w:val="20"/>
          </w:rPr>
          <w:t>https://healthed.govt.nz/products/the-national-immunisation-schedule</w:t>
        </w:r>
      </w:hyperlink>
      <w:r w:rsidRPr="00D079D8">
        <w:rPr>
          <w:rFonts w:eastAsia="Calibri" w:cs="Segoe UI"/>
          <w:noProof/>
          <w:sz w:val="20"/>
          <w:lang w:val="en-US" w:eastAsia="en-US"/>
        </w:rPr>
        <w:t xml:space="preserve"> (accessed 5 May 2023).</w:t>
      </w:r>
    </w:p>
    <w:p w14:paraId="4F30AE4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2023k. </w:t>
      </w:r>
      <w:r w:rsidRPr="00D079D8">
        <w:rPr>
          <w:rFonts w:eastAsia="Calibri" w:cs="Segoe UI"/>
          <w:i/>
          <w:noProof/>
          <w:sz w:val="20"/>
          <w:lang w:val="en-US" w:eastAsia="en-US"/>
        </w:rPr>
        <w:t>Planned care services</w:t>
      </w:r>
      <w:r w:rsidRPr="00D079D8">
        <w:rPr>
          <w:rFonts w:eastAsia="Calibri" w:cs="Segoe UI"/>
          <w:noProof/>
          <w:sz w:val="20"/>
          <w:lang w:val="en-US" w:eastAsia="en-US"/>
        </w:rPr>
        <w:t xml:space="preserve">. URL: </w:t>
      </w:r>
      <w:hyperlink r:id="rId240" w:history="1">
        <w:r w:rsidRPr="00D079D8">
          <w:rPr>
            <w:rStyle w:val="Hyperlink"/>
            <w:rFonts w:eastAsia="Calibri"/>
            <w:sz w:val="20"/>
          </w:rPr>
          <w:t>www.tewhatuora.govt.nz/our-health-system/hospitals-and-specialist-services/planned-care-services</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63792B0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2023l. </w:t>
      </w:r>
      <w:r w:rsidRPr="00D079D8">
        <w:rPr>
          <w:rFonts w:eastAsia="Calibri" w:cs="Segoe UI"/>
          <w:i/>
          <w:noProof/>
          <w:sz w:val="20"/>
          <w:lang w:val="en-US" w:eastAsia="en-US"/>
        </w:rPr>
        <w:t>Populations web tool (Data file)</w:t>
      </w:r>
      <w:r w:rsidRPr="00D079D8">
        <w:rPr>
          <w:rFonts w:eastAsia="Calibri" w:cs="Segoe UI"/>
          <w:noProof/>
          <w:sz w:val="20"/>
          <w:lang w:val="en-US" w:eastAsia="en-US"/>
        </w:rPr>
        <w:t>. URL: Unpublished data (accessed 25 April 2023).</w:t>
      </w:r>
    </w:p>
    <w:p w14:paraId="14168017"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2023m. </w:t>
      </w:r>
      <w:r w:rsidRPr="00D079D8">
        <w:rPr>
          <w:rFonts w:eastAsia="Calibri" w:cs="Segoe UI"/>
          <w:i/>
          <w:noProof/>
          <w:sz w:val="20"/>
          <w:lang w:val="en-US" w:eastAsia="en-US"/>
        </w:rPr>
        <w:t>Public hospitals</w:t>
      </w:r>
      <w:r w:rsidRPr="00D079D8">
        <w:rPr>
          <w:rFonts w:eastAsia="Calibri" w:cs="Segoe UI"/>
          <w:noProof/>
          <w:sz w:val="20"/>
          <w:lang w:val="en-US" w:eastAsia="en-US"/>
        </w:rPr>
        <w:t xml:space="preserve">. URL: </w:t>
      </w:r>
      <w:hyperlink r:id="rId241" w:history="1">
        <w:r w:rsidRPr="00D079D8">
          <w:rPr>
            <w:rStyle w:val="Hyperlink"/>
            <w:rFonts w:eastAsia="Calibri"/>
            <w:sz w:val="20"/>
          </w:rPr>
          <w:t>www.tewhatuora.govt.nz/our-health-system/hospitals-and-specialist-services/public-hospitals/</w:t>
        </w:r>
      </w:hyperlink>
      <w:r w:rsidRPr="00D079D8">
        <w:rPr>
          <w:rStyle w:val="Hyperlink"/>
          <w:rFonts w:eastAsia="Calibri"/>
          <w:sz w:val="20"/>
        </w:rPr>
        <w:t xml:space="preserve"> </w:t>
      </w:r>
      <w:r w:rsidRPr="00D079D8">
        <w:rPr>
          <w:rFonts w:eastAsia="Calibri" w:cs="Segoe UI"/>
          <w:noProof/>
          <w:sz w:val="20"/>
          <w:lang w:val="en-US" w:eastAsia="en-US"/>
        </w:rPr>
        <w:t>(accessed 5 May 2023).</w:t>
      </w:r>
    </w:p>
    <w:p w14:paraId="39C955FF"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Te Whatu Ora. 2023n. </w:t>
      </w:r>
      <w:r w:rsidRPr="00D079D8">
        <w:rPr>
          <w:rFonts w:eastAsia="Calibri" w:cs="Segoe UI"/>
          <w:i/>
          <w:noProof/>
          <w:sz w:val="20"/>
          <w:lang w:val="en-US" w:eastAsia="en-US"/>
        </w:rPr>
        <w:t>Virtual Diabetes Register web tool (Data file)</w:t>
      </w:r>
      <w:r w:rsidRPr="00D079D8">
        <w:rPr>
          <w:rFonts w:eastAsia="Calibri" w:cs="Segoe UI"/>
          <w:noProof/>
          <w:sz w:val="20"/>
          <w:lang w:val="en-US" w:eastAsia="en-US"/>
        </w:rPr>
        <w:t xml:space="preserve">. URL: </w:t>
      </w:r>
      <w:hyperlink r:id="rId242" w:history="1">
        <w:r w:rsidRPr="00D079D8">
          <w:rPr>
            <w:rStyle w:val="Hyperlink"/>
            <w:rFonts w:eastAsia="Calibri"/>
            <w:sz w:val="20"/>
          </w:rPr>
          <w:t>https://tewhatuora.shinyapps.io/virtual-diabetes-register-web-tool/</w:t>
        </w:r>
      </w:hyperlink>
      <w:r w:rsidRPr="00D079D8">
        <w:rPr>
          <w:rFonts w:eastAsia="Calibri" w:cs="Segoe UI"/>
          <w:noProof/>
          <w:sz w:val="20"/>
          <w:lang w:val="en-US" w:eastAsia="en-US"/>
        </w:rPr>
        <w:t xml:space="preserve"> (accessed 28 April 2023).</w:t>
      </w:r>
    </w:p>
    <w:p w14:paraId="7EEC2679"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The Immunisation Advisory Centre. 2022. </w:t>
      </w:r>
      <w:r w:rsidRPr="00D079D8">
        <w:rPr>
          <w:rFonts w:eastAsia="Calibri" w:cs="Segoe UI"/>
          <w:i/>
          <w:noProof/>
          <w:sz w:val="20"/>
          <w:lang w:val="en-US" w:eastAsia="en-US"/>
        </w:rPr>
        <w:t>New Zealand Immunisation Strategy</w:t>
      </w:r>
      <w:r w:rsidRPr="00D079D8">
        <w:rPr>
          <w:rFonts w:eastAsia="Calibri" w:cs="Segoe UI"/>
          <w:noProof/>
          <w:sz w:val="20"/>
          <w:lang w:val="en-US" w:eastAsia="en-US"/>
        </w:rPr>
        <w:t xml:space="preserve">. URL: </w:t>
      </w:r>
      <w:hyperlink r:id="rId243" w:history="1">
        <w:r w:rsidRPr="00D079D8">
          <w:rPr>
            <w:rStyle w:val="Hyperlink"/>
            <w:rFonts w:eastAsia="Calibri"/>
            <w:sz w:val="20"/>
          </w:rPr>
          <w:t>www.influenza.org.nz/clinical-info/new-zealand-immunisation-strategy</w:t>
        </w:r>
      </w:hyperlink>
      <w:r w:rsidRPr="00D079D8">
        <w:rPr>
          <w:rFonts w:eastAsia="Calibri" w:cs="Segoe UI"/>
          <w:noProof/>
          <w:sz w:val="20"/>
          <w:lang w:val="en-US" w:eastAsia="en-US"/>
        </w:rPr>
        <w:t xml:space="preserve"> (accessed 18 May 2023).</w:t>
      </w:r>
    </w:p>
    <w:p w14:paraId="6B62439C"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Unite against COVID-19. 2022a. </w:t>
      </w:r>
      <w:r w:rsidRPr="00D079D8">
        <w:rPr>
          <w:rFonts w:eastAsia="Calibri" w:cs="Segoe UI"/>
          <w:i/>
          <w:noProof/>
          <w:sz w:val="20"/>
          <w:lang w:val="en-US" w:eastAsia="en-US"/>
        </w:rPr>
        <w:t>The current phase of our COVID-19 response</w:t>
      </w:r>
      <w:r w:rsidRPr="00D079D8">
        <w:rPr>
          <w:rFonts w:eastAsia="Calibri" w:cs="Segoe UI"/>
          <w:noProof/>
          <w:sz w:val="20"/>
          <w:lang w:val="en-US" w:eastAsia="en-US"/>
        </w:rPr>
        <w:t xml:space="preserve">. URL: </w:t>
      </w:r>
      <w:hyperlink r:id="rId244" w:history="1">
        <w:r w:rsidRPr="00D079D8">
          <w:rPr>
            <w:rStyle w:val="Hyperlink"/>
            <w:rFonts w:eastAsia="Calibri"/>
            <w:sz w:val="20"/>
          </w:rPr>
          <w:t>https://covid19.govt.nz/current-phase-of-our-covid-19-response/</w:t>
        </w:r>
      </w:hyperlink>
      <w:r w:rsidRPr="00D079D8">
        <w:rPr>
          <w:rFonts w:eastAsia="Calibri" w:cs="Segoe UI"/>
          <w:noProof/>
          <w:sz w:val="20"/>
          <w:lang w:val="en-US" w:eastAsia="en-US"/>
        </w:rPr>
        <w:t xml:space="preserve"> (accessed 5 May 2023).</w:t>
      </w:r>
    </w:p>
    <w:p w14:paraId="31D93106"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Unite against COVID-19. 2022b. </w:t>
      </w:r>
      <w:r w:rsidRPr="00D079D8">
        <w:rPr>
          <w:rFonts w:eastAsia="Calibri" w:cs="Segoe UI"/>
          <w:i/>
          <w:noProof/>
          <w:sz w:val="20"/>
          <w:lang w:val="en-US" w:eastAsia="en-US"/>
        </w:rPr>
        <w:t>History of the COVID-19 Protection Framework (traffic lights)</w:t>
      </w:r>
      <w:r w:rsidRPr="00D079D8">
        <w:rPr>
          <w:rFonts w:eastAsia="Calibri" w:cs="Segoe UI"/>
          <w:noProof/>
          <w:sz w:val="20"/>
          <w:lang w:val="en-US" w:eastAsia="en-US"/>
        </w:rPr>
        <w:t xml:space="preserve">. URL: </w:t>
      </w:r>
      <w:hyperlink r:id="rId245" w:history="1">
        <w:r w:rsidRPr="00D079D8">
          <w:rPr>
            <w:rStyle w:val="Hyperlink"/>
            <w:rFonts w:eastAsia="Calibri"/>
            <w:sz w:val="20"/>
          </w:rPr>
          <w:t>https://covid19.govt.nz/about-our-covid-19-response/history-of-the-covid-19-protection-framework-traffic-lights/</w:t>
        </w:r>
      </w:hyperlink>
      <w:r w:rsidRPr="00D079D8">
        <w:rPr>
          <w:rFonts w:eastAsia="Calibri" w:cs="Segoe UI"/>
          <w:noProof/>
          <w:sz w:val="20"/>
          <w:lang w:val="en-US" w:eastAsia="en-US"/>
        </w:rPr>
        <w:t xml:space="preserve"> (accessed 5 May 2023).</w:t>
      </w:r>
    </w:p>
    <w:p w14:paraId="02C58713"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Unite against COVID-19. 2023. </w:t>
      </w:r>
      <w:r w:rsidRPr="00D079D8">
        <w:rPr>
          <w:rFonts w:eastAsia="Calibri" w:cs="Segoe UI"/>
          <w:i/>
          <w:noProof/>
          <w:sz w:val="20"/>
          <w:lang w:val="en-US" w:eastAsia="en-US"/>
        </w:rPr>
        <w:t>After you have had COVID-19</w:t>
      </w:r>
      <w:r w:rsidRPr="00D079D8">
        <w:rPr>
          <w:rFonts w:eastAsia="Calibri" w:cs="Segoe UI"/>
          <w:noProof/>
          <w:sz w:val="20"/>
          <w:lang w:val="en-US" w:eastAsia="en-US"/>
        </w:rPr>
        <w:t xml:space="preserve">. URL: </w:t>
      </w:r>
      <w:hyperlink r:id="rId246" w:history="1">
        <w:r w:rsidRPr="00D079D8">
          <w:rPr>
            <w:rStyle w:val="Hyperlink"/>
            <w:rFonts w:eastAsia="Calibri"/>
            <w:sz w:val="20"/>
          </w:rPr>
          <w:t>https://covid19.govt.nz/testing-and-isolation/if-you-have-covid-19/after-you-have-had-covid-19/</w:t>
        </w:r>
      </w:hyperlink>
      <w:r w:rsidRPr="00D079D8">
        <w:rPr>
          <w:rFonts w:eastAsia="Calibri" w:cs="Segoe UI"/>
          <w:noProof/>
          <w:sz w:val="20"/>
          <w:lang w:val="en-US" w:eastAsia="en-US"/>
        </w:rPr>
        <w:t xml:space="preserve"> (accessed 5 May 2023).</w:t>
      </w:r>
    </w:p>
    <w:p w14:paraId="77BE87C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University of Michigan. 2023. </w:t>
      </w:r>
      <w:r w:rsidRPr="00D079D8">
        <w:rPr>
          <w:rFonts w:eastAsia="Calibri" w:cs="Segoe UI"/>
          <w:i/>
          <w:noProof/>
          <w:sz w:val="20"/>
          <w:lang w:val="en-US" w:eastAsia="en-US"/>
        </w:rPr>
        <w:t>Cerebrovascular Disease</w:t>
      </w:r>
      <w:r w:rsidRPr="00D079D8">
        <w:rPr>
          <w:rFonts w:eastAsia="Calibri" w:cs="Segoe UI"/>
          <w:noProof/>
          <w:sz w:val="20"/>
          <w:lang w:val="en-US" w:eastAsia="en-US"/>
        </w:rPr>
        <w:t xml:space="preserve">. URL: </w:t>
      </w:r>
      <w:hyperlink r:id="rId247" w:history="1">
        <w:r w:rsidRPr="00D079D8">
          <w:rPr>
            <w:rStyle w:val="Hyperlink"/>
            <w:rFonts w:eastAsia="Calibri"/>
            <w:sz w:val="20"/>
          </w:rPr>
          <w:t>www.uofmhealth.org/conditions-treatments/brain-neurological-conditions/cerebrovascular</w:t>
        </w:r>
      </w:hyperlink>
      <w:r w:rsidRPr="00D079D8">
        <w:rPr>
          <w:rFonts w:eastAsia="Calibri" w:cs="Segoe UI"/>
          <w:noProof/>
          <w:sz w:val="20"/>
          <w:lang w:val="en-US" w:eastAsia="en-US"/>
        </w:rPr>
        <w:t xml:space="preserve"> (accessed 12 May 2023).</w:t>
      </w:r>
    </w:p>
    <w:p w14:paraId="1C0014C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University of Otago. 2011. </w:t>
      </w:r>
      <w:r w:rsidRPr="00D079D8">
        <w:rPr>
          <w:rFonts w:eastAsia="Calibri" w:cs="Segoe UI"/>
          <w:i/>
          <w:noProof/>
          <w:sz w:val="20"/>
          <w:lang w:val="en-US" w:eastAsia="en-US"/>
        </w:rPr>
        <w:t>Fact and action sheets on health inequalities</w:t>
      </w:r>
      <w:r w:rsidRPr="00D079D8">
        <w:rPr>
          <w:rFonts w:eastAsia="Calibri" w:cs="Segoe UI"/>
          <w:noProof/>
          <w:sz w:val="20"/>
          <w:lang w:val="en-US" w:eastAsia="en-US"/>
        </w:rPr>
        <w:t xml:space="preserve">. URL: </w:t>
      </w:r>
      <w:hyperlink r:id="rId248" w:history="1">
        <w:r w:rsidRPr="00D079D8">
          <w:rPr>
            <w:rStyle w:val="Hyperlink"/>
            <w:rFonts w:eastAsia="Calibri"/>
            <w:sz w:val="20"/>
          </w:rPr>
          <w:t>www.otago.ac.nz/wellington/otago023745.pdf</w:t>
        </w:r>
      </w:hyperlink>
      <w:r w:rsidRPr="00D079D8">
        <w:rPr>
          <w:rStyle w:val="Hyperlink"/>
          <w:rFonts w:eastAsia="Calibri"/>
          <w:sz w:val="20"/>
        </w:rPr>
        <w:t xml:space="preserve"> </w:t>
      </w:r>
      <w:r w:rsidRPr="00D079D8">
        <w:rPr>
          <w:rFonts w:eastAsia="Calibri" w:cs="Segoe UI"/>
          <w:noProof/>
          <w:sz w:val="20"/>
          <w:lang w:val="en-US" w:eastAsia="en-US"/>
        </w:rPr>
        <w:t>(accessed 11 May 2023).</w:t>
      </w:r>
    </w:p>
    <w:p w14:paraId="25B72D10"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University of Otago. 2021. </w:t>
      </w:r>
      <w:r w:rsidRPr="00D079D8">
        <w:rPr>
          <w:rFonts w:eastAsia="Calibri" w:cs="Segoe UI"/>
          <w:i/>
          <w:noProof/>
          <w:sz w:val="20"/>
          <w:lang w:val="en-US" w:eastAsia="en-US"/>
        </w:rPr>
        <w:t>Rural-urban classification for NZ health research and policy</w:t>
      </w:r>
      <w:r w:rsidRPr="00D079D8">
        <w:rPr>
          <w:rFonts w:eastAsia="Calibri" w:cs="Segoe UI"/>
          <w:noProof/>
          <w:sz w:val="20"/>
          <w:lang w:val="en-US" w:eastAsia="en-US"/>
        </w:rPr>
        <w:t xml:space="preserve">. URL: </w:t>
      </w:r>
      <w:hyperlink r:id="rId249" w:history="1">
        <w:r w:rsidRPr="00D079D8">
          <w:rPr>
            <w:rStyle w:val="Hyperlink"/>
            <w:rFonts w:eastAsia="Calibri"/>
            <w:sz w:val="20"/>
          </w:rPr>
          <w:t>https://blogs.otago.ac.nz/rural-urbannz/</w:t>
        </w:r>
      </w:hyperlink>
      <w:r w:rsidRPr="00D079D8">
        <w:rPr>
          <w:rFonts w:eastAsia="Calibri" w:cs="Segoe UI"/>
          <w:noProof/>
          <w:sz w:val="20"/>
          <w:lang w:val="en-US" w:eastAsia="en-US"/>
        </w:rPr>
        <w:t xml:space="preserve"> (accessed 25 April 2023).</w:t>
      </w:r>
    </w:p>
    <w:p w14:paraId="1A60A68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Walker DK. 2021. Parenting and social determinants of health. </w:t>
      </w:r>
      <w:r w:rsidRPr="00D079D8">
        <w:rPr>
          <w:rFonts w:eastAsia="Calibri" w:cs="Segoe UI"/>
          <w:i/>
          <w:noProof/>
          <w:sz w:val="20"/>
          <w:lang w:val="en-US" w:eastAsia="en-US"/>
        </w:rPr>
        <w:t>Archives of Psychiatric Nursing</w:t>
      </w:r>
      <w:r w:rsidRPr="00D079D8">
        <w:rPr>
          <w:rFonts w:eastAsia="Calibri" w:cs="Segoe UI"/>
          <w:noProof/>
          <w:sz w:val="20"/>
          <w:lang w:val="en-US" w:eastAsia="en-US"/>
        </w:rPr>
        <w:t xml:space="preserve"> 35(1): 134</w:t>
      </w:r>
      <w:r w:rsidRPr="00D079D8" w:rsidDel="003C1516">
        <w:rPr>
          <w:rFonts w:eastAsia="Calibri" w:cs="Segoe UI"/>
          <w:noProof/>
          <w:sz w:val="20"/>
          <w:lang w:val="en-US" w:eastAsia="en-US"/>
        </w:rPr>
        <w:t>-</w:t>
      </w:r>
      <w:r w:rsidRPr="00D079D8">
        <w:rPr>
          <w:rFonts w:eastAsia="Calibri" w:cs="Segoe UI"/>
          <w:noProof/>
          <w:sz w:val="20"/>
          <w:lang w:val="en-US" w:eastAsia="en-US"/>
        </w:rPr>
        <w:t>6.</w:t>
      </w:r>
    </w:p>
    <w:p w14:paraId="499B49C6"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Whaikaha. 2022. </w:t>
      </w:r>
      <w:r w:rsidRPr="00D079D8">
        <w:rPr>
          <w:rFonts w:eastAsia="Calibri" w:cs="Segoe UI"/>
          <w:i/>
          <w:noProof/>
          <w:sz w:val="20"/>
          <w:lang w:val="en-US" w:eastAsia="en-US"/>
        </w:rPr>
        <w:t>System Transformation and Enabling Good Lives</w:t>
      </w:r>
      <w:r w:rsidRPr="00D079D8">
        <w:rPr>
          <w:rFonts w:eastAsia="Calibri" w:cs="Segoe UI"/>
          <w:noProof/>
          <w:sz w:val="20"/>
          <w:lang w:val="en-US" w:eastAsia="en-US"/>
        </w:rPr>
        <w:t xml:space="preserve">. URL: </w:t>
      </w:r>
      <w:hyperlink r:id="rId250" w:history="1">
        <w:r w:rsidRPr="00D079D8">
          <w:rPr>
            <w:rStyle w:val="Hyperlink"/>
            <w:rFonts w:eastAsia="Calibri"/>
            <w:sz w:val="20"/>
          </w:rPr>
          <w:t>www.whaikaha.govt.nz/about-us/enabling-good-lives/</w:t>
        </w:r>
      </w:hyperlink>
      <w:r w:rsidRPr="00D079D8">
        <w:rPr>
          <w:rFonts w:eastAsia="Calibri" w:cs="Segoe UI"/>
          <w:noProof/>
          <w:sz w:val="20"/>
          <w:lang w:val="en-US" w:eastAsia="en-US"/>
        </w:rPr>
        <w:t xml:space="preserve"> (accessed 11 May 2023).</w:t>
      </w:r>
    </w:p>
    <w:p w14:paraId="301ABA04"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Whaikaha. 2023. </w:t>
      </w:r>
      <w:r w:rsidRPr="00D079D8">
        <w:rPr>
          <w:rFonts w:eastAsia="Calibri" w:cs="Segoe UI"/>
          <w:i/>
          <w:noProof/>
          <w:sz w:val="20"/>
          <w:lang w:val="en-US" w:eastAsia="en-US"/>
        </w:rPr>
        <w:t>COVID-19 disability data review</w:t>
      </w:r>
      <w:r w:rsidRPr="00D079D8">
        <w:rPr>
          <w:rFonts w:eastAsia="Calibri" w:cs="Segoe UI"/>
          <w:noProof/>
          <w:sz w:val="20"/>
          <w:lang w:val="en-US" w:eastAsia="en-US"/>
        </w:rPr>
        <w:t xml:space="preserve">. URL: </w:t>
      </w:r>
      <w:hyperlink r:id="rId251" w:history="1">
        <w:r w:rsidRPr="00D079D8">
          <w:rPr>
            <w:rStyle w:val="Hyperlink"/>
            <w:rFonts w:eastAsia="Calibri"/>
            <w:sz w:val="20"/>
          </w:rPr>
          <w:t>www.whaikaha.govt.nz/news-and-events/news/covid-19-disability-data-review/</w:t>
        </w:r>
      </w:hyperlink>
      <w:r w:rsidRPr="00D079D8">
        <w:rPr>
          <w:rStyle w:val="Hyperlink"/>
          <w:rFonts w:eastAsia="Calibri"/>
          <w:sz w:val="20"/>
        </w:rPr>
        <w:t xml:space="preserve"> </w:t>
      </w:r>
      <w:r w:rsidRPr="00D079D8">
        <w:rPr>
          <w:rFonts w:eastAsia="Calibri" w:cs="Segoe UI"/>
          <w:noProof/>
          <w:sz w:val="20"/>
          <w:lang w:val="en-US" w:eastAsia="en-US"/>
        </w:rPr>
        <w:t>(accessed 18 May 2023).</w:t>
      </w:r>
    </w:p>
    <w:p w14:paraId="323E783B"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Whitehead J, Davie G, de Graaf B, et al. 2021. </w:t>
      </w:r>
      <w:r w:rsidRPr="00D079D8">
        <w:rPr>
          <w:rFonts w:eastAsia="Calibri" w:cs="Segoe UI"/>
          <w:i/>
          <w:noProof/>
          <w:sz w:val="20"/>
          <w:lang w:val="en-US" w:eastAsia="en-US"/>
        </w:rPr>
        <w:t>The Geographic Classification for Health</w:t>
      </w:r>
      <w:r w:rsidRPr="00D079D8">
        <w:rPr>
          <w:rFonts w:eastAsia="Calibri" w:cs="Segoe UI"/>
          <w:noProof/>
          <w:sz w:val="20"/>
          <w:lang w:val="en-US" w:eastAsia="en-US"/>
        </w:rPr>
        <w:t xml:space="preserve">. URL: </w:t>
      </w:r>
      <w:hyperlink r:id="rId252" w:history="1">
        <w:r w:rsidRPr="00D079D8">
          <w:rPr>
            <w:rStyle w:val="Hyperlink"/>
            <w:rFonts w:eastAsia="Calibri"/>
            <w:sz w:val="20"/>
          </w:rPr>
          <w:t>https://blogs.otago.ac.nz/rural-urbannz/files/2021/07/The-Geographic-Classification-for-Health-Methodology-and-Classification-Report-May-2021.pdf</w:t>
        </w:r>
      </w:hyperlink>
      <w:r w:rsidRPr="00D079D8">
        <w:rPr>
          <w:rFonts w:eastAsia="Calibri" w:cs="Segoe UI"/>
          <w:noProof/>
          <w:sz w:val="20"/>
          <w:lang w:val="en-US" w:eastAsia="en-US"/>
        </w:rPr>
        <w:t xml:space="preserve"> (accessed 5 May 2023).</w:t>
      </w:r>
    </w:p>
    <w:p w14:paraId="44F107F2"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lastRenderedPageBreak/>
        <w:t xml:space="preserve">World Health Organization. 2021. </w:t>
      </w:r>
      <w:r w:rsidRPr="00D079D8">
        <w:rPr>
          <w:rFonts w:eastAsia="Calibri" w:cs="Segoe UI"/>
          <w:i/>
          <w:noProof/>
          <w:sz w:val="20"/>
          <w:lang w:val="en-US" w:eastAsia="en-US"/>
        </w:rPr>
        <w:t>Coronavirus disease (COVID-19) pandemic</w:t>
      </w:r>
      <w:r w:rsidRPr="00D079D8">
        <w:rPr>
          <w:rFonts w:eastAsia="Calibri" w:cs="Segoe UI"/>
          <w:noProof/>
          <w:sz w:val="20"/>
          <w:lang w:val="en-US" w:eastAsia="en-US"/>
        </w:rPr>
        <w:t xml:space="preserve">. URL: </w:t>
      </w:r>
      <w:hyperlink r:id="rId253" w:history="1">
        <w:r w:rsidRPr="00D079D8">
          <w:rPr>
            <w:rStyle w:val="Hyperlink"/>
            <w:rFonts w:eastAsia="Calibri"/>
            <w:sz w:val="20"/>
          </w:rPr>
          <w:t>www.who.int/europe/emergencies/situations/covid-19</w:t>
        </w:r>
      </w:hyperlink>
      <w:r w:rsidRPr="00D079D8">
        <w:rPr>
          <w:rFonts w:eastAsia="Calibri" w:cs="Segoe UI"/>
          <w:noProof/>
          <w:sz w:val="20"/>
          <w:lang w:val="en-US" w:eastAsia="en-US"/>
        </w:rPr>
        <w:t xml:space="preserve"> (accessed 18 May 2023).</w:t>
      </w:r>
    </w:p>
    <w:p w14:paraId="1217CD08" w14:textId="77777777" w:rsidR="00041EF7" w:rsidRPr="00D079D8" w:rsidRDefault="00041EF7" w:rsidP="00041EF7">
      <w:pPr>
        <w:pStyle w:val="References"/>
        <w:rPr>
          <w:rFonts w:eastAsia="Calibri" w:cs="Segoe UI"/>
          <w:noProof/>
          <w:sz w:val="20"/>
          <w:lang w:val="en-US" w:eastAsia="en-US"/>
        </w:rPr>
      </w:pPr>
      <w:r w:rsidRPr="00D079D8">
        <w:rPr>
          <w:rFonts w:eastAsia="Calibri" w:cs="Segoe UI"/>
          <w:noProof/>
          <w:sz w:val="20"/>
          <w:lang w:val="en-US" w:eastAsia="en-US"/>
        </w:rPr>
        <w:t xml:space="preserve">World Health Organization. 2022. </w:t>
      </w:r>
      <w:r w:rsidRPr="00D079D8">
        <w:rPr>
          <w:rFonts w:eastAsia="Calibri" w:cs="Segoe UI"/>
          <w:i/>
          <w:noProof/>
          <w:sz w:val="20"/>
          <w:lang w:val="en-US" w:eastAsia="en-US"/>
        </w:rPr>
        <w:t>Noncommunicable diseases</w:t>
      </w:r>
      <w:r w:rsidRPr="00D079D8">
        <w:rPr>
          <w:rFonts w:eastAsia="Calibri" w:cs="Segoe UI"/>
          <w:noProof/>
          <w:sz w:val="20"/>
          <w:lang w:val="en-US" w:eastAsia="en-US"/>
        </w:rPr>
        <w:t xml:space="preserve">. URL: </w:t>
      </w:r>
      <w:hyperlink r:id="rId254" w:history="1">
        <w:r w:rsidRPr="00D079D8">
          <w:rPr>
            <w:rStyle w:val="Hyperlink"/>
            <w:rFonts w:eastAsia="Calibri"/>
            <w:sz w:val="20"/>
          </w:rPr>
          <w:t>www.who.int/news-room/fact-sheets/detail/noncommunicable-diseases</w:t>
        </w:r>
      </w:hyperlink>
      <w:r w:rsidRPr="00D079D8">
        <w:rPr>
          <w:rFonts w:eastAsia="Calibri" w:cs="Segoe UI"/>
          <w:noProof/>
          <w:sz w:val="20"/>
          <w:lang w:val="en-US" w:eastAsia="en-US"/>
        </w:rPr>
        <w:t xml:space="preserve"> (accessed 5 May 2023).</w:t>
      </w:r>
    </w:p>
    <w:p w14:paraId="28235804" w14:textId="20CEC2A0" w:rsidR="009A42D5" w:rsidRPr="00D079D8" w:rsidRDefault="00041EF7" w:rsidP="00041EF7">
      <w:pPr>
        <w:pStyle w:val="References"/>
        <w:rPr>
          <w:sz w:val="20"/>
        </w:rPr>
      </w:pPr>
      <w:r w:rsidRPr="00D079D8">
        <w:rPr>
          <w:rFonts w:eastAsia="Calibri" w:cs="Segoe UI"/>
          <w:noProof/>
          <w:sz w:val="20"/>
          <w:lang w:val="en-US" w:eastAsia="en-US"/>
        </w:rPr>
        <w:t xml:space="preserve">World Health Organization. 2023. </w:t>
      </w:r>
      <w:r w:rsidRPr="00D079D8">
        <w:rPr>
          <w:rFonts w:eastAsia="Calibri" w:cs="Segoe UI"/>
          <w:i/>
          <w:noProof/>
          <w:sz w:val="20"/>
          <w:lang w:val="en-US" w:eastAsia="en-US"/>
        </w:rPr>
        <w:t>WHO Coronavirus (COVID-19) Dashboard</w:t>
      </w:r>
      <w:r w:rsidRPr="00D079D8">
        <w:rPr>
          <w:rFonts w:eastAsia="Calibri" w:cs="Segoe UI"/>
          <w:noProof/>
          <w:sz w:val="20"/>
          <w:lang w:val="en-US" w:eastAsia="en-US"/>
        </w:rPr>
        <w:t xml:space="preserve">. URL: </w:t>
      </w:r>
      <w:hyperlink r:id="rId255" w:history="1">
        <w:r w:rsidRPr="00D079D8">
          <w:rPr>
            <w:rStyle w:val="Hyperlink"/>
            <w:rFonts w:eastAsia="Calibri"/>
            <w:sz w:val="20"/>
          </w:rPr>
          <w:t>https://covid19.who.int/</w:t>
        </w:r>
      </w:hyperlink>
      <w:r w:rsidRPr="00D079D8">
        <w:rPr>
          <w:rFonts w:eastAsia="Calibri" w:cs="Segoe UI"/>
          <w:noProof/>
          <w:sz w:val="20"/>
          <w:lang w:val="en-US" w:eastAsia="en-US"/>
        </w:rPr>
        <w:t xml:space="preserve"> (accessed 28 April 2023).</w:t>
      </w:r>
      <w:r w:rsidRPr="00D079D8">
        <w:rPr>
          <w:rFonts w:eastAsia="Symbol" w:cs="Segoe UI"/>
          <w:sz w:val="20"/>
        </w:rPr>
        <w:fldChar w:fldCharType="end"/>
      </w:r>
    </w:p>
    <w:sectPr w:rsidR="009A42D5" w:rsidRPr="00D079D8" w:rsidSect="00025EAD">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9107" w14:textId="77777777" w:rsidR="00464876" w:rsidRDefault="00464876">
      <w:r>
        <w:separator/>
      </w:r>
    </w:p>
    <w:p w14:paraId="1A158021" w14:textId="77777777" w:rsidR="00464876" w:rsidRDefault="00464876"/>
  </w:endnote>
  <w:endnote w:type="continuationSeparator" w:id="0">
    <w:p w14:paraId="6BBA1D21" w14:textId="77777777" w:rsidR="00464876" w:rsidRDefault="00464876">
      <w:r>
        <w:continuationSeparator/>
      </w:r>
    </w:p>
    <w:p w14:paraId="5DFC71AC" w14:textId="77777777" w:rsidR="00464876" w:rsidRDefault="00464876"/>
  </w:endnote>
  <w:endnote w:type="continuationNotice" w:id="1">
    <w:p w14:paraId="31A4EB3C" w14:textId="77777777" w:rsidR="00464876" w:rsidRDefault="00464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quot;Calibri&quot;,sans-seri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1ED80D3F" w:rsidR="003553C9" w:rsidRPr="00581136" w:rsidRDefault="003553C9" w:rsidP="005A79E5">
    <w:pPr>
      <w:pStyle w:val="Footer"/>
      <w:pBdr>
        <w:bottom w:val="single" w:sz="4" w:space="1" w:color="auto"/>
      </w:pBdr>
      <w:tabs>
        <w:tab w:val="right" w:pos="9639"/>
      </w:tabs>
      <w:rPr>
        <w:b/>
      </w:rPr>
    </w:pPr>
    <w:r w:rsidRPr="00581136">
      <w:rPr>
        <w:b/>
      </w:rPr>
      <w:t>Released 20</w:t>
    </w:r>
    <w:r>
      <w:rPr>
        <w:b/>
      </w:rPr>
      <w:t>2</w:t>
    </w:r>
    <w:r w:rsidR="00D27BB3">
      <w:rPr>
        <w:b/>
      </w:rPr>
      <w:t>3</w:t>
    </w:r>
    <w:r w:rsidRPr="00581136">
      <w:rPr>
        <w:b/>
      </w:rPr>
      <w:tab/>
      <w:t>health.govt.nz</w:t>
    </w:r>
  </w:p>
  <w:p w14:paraId="524869F6" w14:textId="77777777" w:rsidR="003553C9" w:rsidRPr="005A79E5" w:rsidRDefault="003553C9">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3553C9" w:rsidRDefault="003553C9"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3553C9" w:rsidRDefault="003553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553C9" w14:paraId="21F35FCC" w14:textId="77777777" w:rsidTr="00B51F42">
      <w:trPr>
        <w:cantSplit/>
      </w:trPr>
      <w:tc>
        <w:tcPr>
          <w:tcW w:w="709" w:type="dxa"/>
          <w:vAlign w:val="center"/>
        </w:tcPr>
        <w:p w14:paraId="2050A002" w14:textId="77777777" w:rsidR="003553C9" w:rsidRPr="00931466" w:rsidRDefault="003553C9" w:rsidP="00025EAD">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0171E54" w14:textId="750D9BA3" w:rsidR="003553C9" w:rsidRDefault="003553C9" w:rsidP="00025EAD">
          <w:pPr>
            <w:pStyle w:val="RectoFooter"/>
            <w:jc w:val="left"/>
          </w:pPr>
          <w:r w:rsidRPr="00025EAD">
            <w:t xml:space="preserve">Health and Independence Report 2022 </w:t>
          </w:r>
        </w:p>
      </w:tc>
    </w:tr>
  </w:tbl>
  <w:p w14:paraId="172F2DDB" w14:textId="77777777" w:rsidR="003553C9" w:rsidRPr="00571223" w:rsidRDefault="003553C9"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553C9" w14:paraId="71F3685B" w14:textId="77777777" w:rsidTr="00D662F8">
      <w:trPr>
        <w:cantSplit/>
      </w:trPr>
      <w:tc>
        <w:tcPr>
          <w:tcW w:w="8080" w:type="dxa"/>
          <w:vAlign w:val="center"/>
        </w:tcPr>
        <w:p w14:paraId="5784B1D8" w14:textId="10B118B5" w:rsidR="003553C9" w:rsidRDefault="003553C9" w:rsidP="00926083">
          <w:pPr>
            <w:pStyle w:val="RectoFooter"/>
          </w:pPr>
          <w:r w:rsidRPr="00025EAD">
            <w:t xml:space="preserve">Health and Independence Report 2022 </w:t>
          </w:r>
        </w:p>
      </w:tc>
      <w:tc>
        <w:tcPr>
          <w:tcW w:w="709" w:type="dxa"/>
          <w:vAlign w:val="center"/>
        </w:tcPr>
        <w:p w14:paraId="18A7A1B5" w14:textId="77777777" w:rsidR="003553C9" w:rsidRPr="00931466" w:rsidRDefault="003553C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3553C9" w:rsidRPr="00581EB8" w:rsidRDefault="003553C9"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553C9" w14:paraId="4C3A3BF7" w14:textId="77777777" w:rsidTr="00D662F8">
      <w:trPr>
        <w:cantSplit/>
      </w:trPr>
      <w:tc>
        <w:tcPr>
          <w:tcW w:w="709" w:type="dxa"/>
          <w:vAlign w:val="center"/>
        </w:tcPr>
        <w:p w14:paraId="28F87ED7" w14:textId="77777777" w:rsidR="003553C9" w:rsidRPr="00931466" w:rsidRDefault="003553C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2618ABC9" w:rsidR="003553C9" w:rsidRDefault="003553C9" w:rsidP="00926083">
          <w:pPr>
            <w:pStyle w:val="RectoFooter"/>
            <w:jc w:val="left"/>
          </w:pPr>
          <w:r w:rsidRPr="00025EAD">
            <w:t xml:space="preserve">Health and Independence Report 2022 </w:t>
          </w:r>
        </w:p>
      </w:tc>
    </w:tr>
  </w:tbl>
  <w:p w14:paraId="711B5D80" w14:textId="77777777" w:rsidR="003553C9" w:rsidRPr="00571223" w:rsidRDefault="003553C9"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553C9" w14:paraId="58AAB149" w14:textId="77777777" w:rsidTr="00D662F8">
      <w:trPr>
        <w:cantSplit/>
      </w:trPr>
      <w:tc>
        <w:tcPr>
          <w:tcW w:w="8080" w:type="dxa"/>
          <w:vAlign w:val="center"/>
        </w:tcPr>
        <w:p w14:paraId="20E2F0CC" w14:textId="1B830355" w:rsidR="003553C9" w:rsidRDefault="00D079D8" w:rsidP="00926083">
          <w:pPr>
            <w:pStyle w:val="RectoFooter"/>
          </w:pPr>
          <w:r w:rsidRPr="00025EAD">
            <w:t xml:space="preserve">Health and Independence Report 2022 </w:t>
          </w:r>
        </w:p>
      </w:tc>
      <w:tc>
        <w:tcPr>
          <w:tcW w:w="709" w:type="dxa"/>
          <w:vAlign w:val="center"/>
        </w:tcPr>
        <w:p w14:paraId="3D3C9847" w14:textId="77777777" w:rsidR="003553C9" w:rsidRPr="00931466" w:rsidRDefault="003553C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3553C9" w:rsidRPr="00581EB8" w:rsidRDefault="003553C9"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3553C9" w14:paraId="7E34FA6B" w14:textId="77777777" w:rsidTr="00D662F8">
      <w:trPr>
        <w:cantSplit/>
      </w:trPr>
      <w:tc>
        <w:tcPr>
          <w:tcW w:w="675" w:type="dxa"/>
          <w:vAlign w:val="center"/>
        </w:tcPr>
        <w:p w14:paraId="6281C317" w14:textId="77777777" w:rsidR="003553C9" w:rsidRPr="00931466" w:rsidRDefault="003553C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4A265E91" w:rsidR="003553C9" w:rsidRDefault="003553C9" w:rsidP="000D58DD">
          <w:pPr>
            <w:pStyle w:val="RectoFooter"/>
            <w:jc w:val="left"/>
          </w:pPr>
          <w:r w:rsidRPr="00025EAD">
            <w:t xml:space="preserve">HEALTH AND INDEPENDENCE REPORT 2022 </w:t>
          </w:r>
        </w:p>
      </w:tc>
    </w:tr>
  </w:tbl>
  <w:p w14:paraId="5177CEA2" w14:textId="77777777" w:rsidR="003553C9" w:rsidRPr="00571223" w:rsidRDefault="003553C9"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553C9" w14:paraId="47337729" w14:textId="77777777" w:rsidTr="00D662F8">
      <w:trPr>
        <w:cantSplit/>
      </w:trPr>
      <w:tc>
        <w:tcPr>
          <w:tcW w:w="8080" w:type="dxa"/>
          <w:vAlign w:val="center"/>
        </w:tcPr>
        <w:p w14:paraId="1A33CBD1" w14:textId="0C238808" w:rsidR="003553C9" w:rsidRDefault="003553C9" w:rsidP="00931466">
          <w:pPr>
            <w:pStyle w:val="RectoFooter"/>
          </w:pPr>
          <w:r w:rsidRPr="00025EAD">
            <w:t xml:space="preserve">HEALTH AND INDEPENDENCE REPORT 2022 </w:t>
          </w:r>
        </w:p>
      </w:tc>
      <w:tc>
        <w:tcPr>
          <w:tcW w:w="709" w:type="dxa"/>
          <w:vAlign w:val="center"/>
        </w:tcPr>
        <w:p w14:paraId="501EC334" w14:textId="77777777" w:rsidR="003553C9" w:rsidRPr="00931466" w:rsidRDefault="003553C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3553C9" w:rsidRPr="00581EB8" w:rsidRDefault="003553C9"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F9667" w14:textId="77777777" w:rsidR="00464876" w:rsidRPr="00A26E6B" w:rsidRDefault="00464876" w:rsidP="00A26E6B"/>
  </w:footnote>
  <w:footnote w:type="continuationSeparator" w:id="0">
    <w:p w14:paraId="17224B42" w14:textId="77777777" w:rsidR="00464876" w:rsidRDefault="00464876">
      <w:r>
        <w:continuationSeparator/>
      </w:r>
    </w:p>
    <w:p w14:paraId="19ADCEAA" w14:textId="77777777" w:rsidR="00464876" w:rsidRDefault="00464876"/>
  </w:footnote>
  <w:footnote w:type="continuationNotice" w:id="1">
    <w:p w14:paraId="4E968D53" w14:textId="77777777" w:rsidR="00464876" w:rsidRDefault="00464876"/>
  </w:footnote>
  <w:footnote w:id="2">
    <w:p w14:paraId="004FCEE1" w14:textId="46D9EB7A" w:rsidR="003553C9" w:rsidRPr="00025EAD" w:rsidRDefault="003553C9">
      <w:pPr>
        <w:pStyle w:val="FootnoteText"/>
        <w:rPr>
          <w:lang w:val="en-US"/>
        </w:rPr>
      </w:pPr>
      <w:r>
        <w:rPr>
          <w:rStyle w:val="FootnoteReference"/>
        </w:rPr>
        <w:footnoteRef/>
      </w:r>
      <w:r>
        <w:t xml:space="preserve"> </w:t>
      </w:r>
      <w:r w:rsidRPr="00025EAD">
        <w:t>As at data extraction date of 17 March 2023.</w:t>
      </w:r>
    </w:p>
  </w:footnote>
  <w:footnote w:id="3">
    <w:p w14:paraId="22F40196" w14:textId="77777777" w:rsidR="003553C9" w:rsidRPr="002D2208" w:rsidRDefault="003553C9" w:rsidP="001E7E3E">
      <w:pPr>
        <w:pStyle w:val="FootnoteText"/>
      </w:pPr>
      <w:r w:rsidRPr="00296F9F">
        <w:rPr>
          <w:rStyle w:val="FooterChar"/>
          <w:rFonts w:cs="Segoe UI"/>
          <w:szCs w:val="17"/>
          <w:vertAlign w:val="superscript"/>
        </w:rPr>
        <w:t>2</w:t>
      </w:r>
      <w:r>
        <w:t xml:space="preserve"> </w:t>
      </w:r>
      <w:r w:rsidRPr="002D2208">
        <w:t>Lesbian, gay, bisexual, transgender, intersex, queer/questioning, asexual.</w:t>
      </w:r>
    </w:p>
  </w:footnote>
  <w:footnote w:id="4">
    <w:p w14:paraId="05ED93F7" w14:textId="77777777" w:rsidR="003553C9" w:rsidRPr="001F398B" w:rsidRDefault="003553C9" w:rsidP="001E7E3E">
      <w:pPr>
        <w:pStyle w:val="FootnoteText"/>
        <w:rPr>
          <w:lang w:val="mi-NZ"/>
        </w:rPr>
      </w:pPr>
      <w:r>
        <w:rPr>
          <w:rStyle w:val="FootnoteReference"/>
        </w:rPr>
        <w:footnoteRef/>
      </w:r>
      <w:r w:rsidRPr="007A5796">
        <w:rPr>
          <w:lang w:val="mi-NZ"/>
        </w:rPr>
        <w:t xml:space="preserve"> </w:t>
      </w:r>
      <w:r w:rsidRPr="002D2208">
        <w:t>Mahu (Hawai‘i and Tahiti), vaka sa lewa lewa (Fiji), palopa (Papua New Guinea), fa‘afafine (Samoa), akava‘ine (</w:t>
      </w:r>
      <w:r>
        <w:t>Cook Islands</w:t>
      </w:r>
      <w:r w:rsidRPr="002D2208">
        <w:t>), fakaleiti (Tonga), fakafifine (Niue).</w:t>
      </w:r>
    </w:p>
  </w:footnote>
  <w:footnote w:id="5">
    <w:p w14:paraId="2C7622EB" w14:textId="77777777" w:rsidR="003553C9" w:rsidRDefault="003553C9" w:rsidP="00A474DA">
      <w:pPr>
        <w:pStyle w:val="FootnoteText"/>
      </w:pPr>
      <w:r w:rsidRPr="005B5629">
        <w:rPr>
          <w:rStyle w:val="FootnoteReference"/>
          <w:rFonts w:cs="Segoe UI"/>
        </w:rPr>
        <w:footnoteRef/>
      </w:r>
      <w:r w:rsidRPr="005B5629">
        <w:rPr>
          <w:rFonts w:cs="Segoe UI"/>
        </w:rPr>
        <w:t xml:space="preserve"> Rural areas and urban areas are grouped</w:t>
      </w:r>
      <w:r>
        <w:rPr>
          <w:rFonts w:cs="Segoe UI"/>
        </w:rPr>
        <w:t>.</w:t>
      </w:r>
      <w:r w:rsidRPr="005B5629">
        <w:rPr>
          <w:rFonts w:cs="Segoe UI"/>
        </w:rPr>
        <w:t xml:space="preserve"> </w:t>
      </w:r>
      <w:r>
        <w:rPr>
          <w:rFonts w:cs="Segoe UI"/>
        </w:rPr>
        <w:t>F</w:t>
      </w:r>
      <w:r w:rsidRPr="005B5629">
        <w:rPr>
          <w:rFonts w:cs="Segoe UI"/>
        </w:rPr>
        <w:t>or more information and detailed maps</w:t>
      </w:r>
      <w:r>
        <w:rPr>
          <w:rFonts w:cs="Segoe UI"/>
        </w:rPr>
        <w:t>, go to</w:t>
      </w:r>
      <w:r w:rsidRPr="005B5629">
        <w:rPr>
          <w:rFonts w:cs="Segoe UI"/>
        </w:rPr>
        <w:t xml:space="preserve"> </w:t>
      </w:r>
      <w:r>
        <w:rPr>
          <w:rFonts w:cs="Segoe UI"/>
        </w:rPr>
        <w:t xml:space="preserve">the GCH website: </w:t>
      </w:r>
      <w:hyperlink r:id="rId1" w:history="1">
        <w:r w:rsidRPr="00FF0ECF">
          <w:rPr>
            <w:rStyle w:val="Hyperlink"/>
            <w:rFonts w:cs="Segoe UI"/>
          </w:rPr>
          <w:t>https://storymaps.arcgis.com/stories/da035e374dbb4ea0ae3b31b6777924ad</w:t>
        </w:r>
      </w:hyperlink>
      <w:r>
        <w:t>.</w:t>
      </w:r>
    </w:p>
  </w:footnote>
  <w:footnote w:id="6">
    <w:p w14:paraId="33876DF7" w14:textId="77777777" w:rsidR="003553C9" w:rsidRPr="009D7D94" w:rsidRDefault="003553C9" w:rsidP="00A474DA">
      <w:pPr>
        <w:pStyle w:val="FootnoteText"/>
        <w:rPr>
          <w:lang w:val="mi-NZ"/>
        </w:rPr>
      </w:pPr>
      <w:r>
        <w:rPr>
          <w:rStyle w:val="FootnoteReference"/>
        </w:rPr>
        <w:footnoteRef/>
      </w:r>
      <w:r>
        <w:t xml:space="preserve"> The survey defined </w:t>
      </w:r>
      <w:r>
        <w:rPr>
          <w:shd w:val="clear" w:color="auto" w:fill="FFFFFF"/>
        </w:rPr>
        <w:t>d</w:t>
      </w:r>
      <w:r w:rsidRPr="009D7D94">
        <w:rPr>
          <w:shd w:val="clear" w:color="auto" w:fill="FFFFFF"/>
        </w:rPr>
        <w:t>isability as any self-perceived limitation in activity resulting from a long-term condition or health problem lasting</w:t>
      </w:r>
      <w:r>
        <w:rPr>
          <w:shd w:val="clear" w:color="auto" w:fill="FFFFFF"/>
        </w:rPr>
        <w:t>,</w:t>
      </w:r>
      <w:r w:rsidRPr="009D7D94">
        <w:rPr>
          <w:shd w:val="clear" w:color="auto" w:fill="FFFFFF"/>
        </w:rPr>
        <w:t xml:space="preserve"> or expected to last</w:t>
      </w:r>
      <w:r>
        <w:rPr>
          <w:shd w:val="clear" w:color="auto" w:fill="FFFFFF"/>
        </w:rPr>
        <w:t>,</w:t>
      </w:r>
      <w:r w:rsidRPr="009D7D94">
        <w:rPr>
          <w:shd w:val="clear" w:color="auto" w:fill="FFFFFF"/>
        </w:rPr>
        <w:t xml:space="preserve"> 6 months or more and not completely eliminated by an assistive device. </w:t>
      </w:r>
      <w:r>
        <w:rPr>
          <w:shd w:val="clear" w:color="auto" w:fill="FFFFFF"/>
        </w:rPr>
        <w:t xml:space="preserve">It </w:t>
      </w:r>
      <w:r w:rsidRPr="009D7D94">
        <w:rPr>
          <w:shd w:val="clear" w:color="auto" w:fill="FFFFFF"/>
        </w:rPr>
        <w:t>consider</w:t>
      </w:r>
      <w:r>
        <w:rPr>
          <w:shd w:val="clear" w:color="auto" w:fill="FFFFFF"/>
        </w:rPr>
        <w:t>ed that a person did not have</w:t>
      </w:r>
      <w:r w:rsidRPr="009D7D94">
        <w:rPr>
          <w:shd w:val="clear" w:color="auto" w:fill="FFFFFF"/>
        </w:rPr>
        <w:t xml:space="preserve"> a disability if</w:t>
      </w:r>
      <w:r>
        <w:rPr>
          <w:shd w:val="clear" w:color="auto" w:fill="FFFFFF"/>
        </w:rPr>
        <w:t xml:space="preserve"> they were using</w:t>
      </w:r>
      <w:r w:rsidRPr="009D7D94">
        <w:rPr>
          <w:shd w:val="clear" w:color="auto" w:fill="FFFFFF"/>
        </w:rPr>
        <w:t xml:space="preserve"> an assistive device such as glasses or crutches</w:t>
      </w:r>
      <w:r>
        <w:rPr>
          <w:shd w:val="clear" w:color="auto" w:fill="FFFFFF"/>
        </w:rPr>
        <w:t xml:space="preserve"> that</w:t>
      </w:r>
      <w:r w:rsidRPr="009D7D94">
        <w:rPr>
          <w:shd w:val="clear" w:color="auto" w:fill="FFFFFF"/>
        </w:rPr>
        <w:t xml:space="preserve"> </w:t>
      </w:r>
      <w:r>
        <w:rPr>
          <w:shd w:val="clear" w:color="auto" w:fill="FFFFFF"/>
        </w:rPr>
        <w:t>removed</w:t>
      </w:r>
      <w:r w:rsidRPr="009D7D94">
        <w:rPr>
          <w:shd w:val="clear" w:color="auto" w:fill="FFFFFF"/>
        </w:rPr>
        <w:t xml:space="preserve"> their impairment</w:t>
      </w:r>
      <w:r>
        <w:rPr>
          <w:shd w:val="clear" w:color="auto" w:fill="FFFFFF"/>
        </w:rPr>
        <w:t>.</w:t>
      </w:r>
    </w:p>
  </w:footnote>
  <w:footnote w:id="7">
    <w:p w14:paraId="70E5669E" w14:textId="77777777" w:rsidR="003553C9" w:rsidRDefault="003553C9" w:rsidP="00A474DA">
      <w:pPr>
        <w:pStyle w:val="FootnoteText"/>
        <w:rPr>
          <w:highlight w:val="yellow"/>
        </w:rPr>
      </w:pPr>
      <w:r w:rsidRPr="680B6085">
        <w:rPr>
          <w:rStyle w:val="FootnoteReference"/>
        </w:rPr>
        <w:footnoteRef/>
      </w:r>
      <w:r>
        <w:t xml:space="preserve"> </w:t>
      </w:r>
      <w:r w:rsidRPr="008022EF">
        <w:t xml:space="preserve">Enabling </w:t>
      </w:r>
      <w:r>
        <w:t>G</w:t>
      </w:r>
      <w:r w:rsidRPr="008022EF">
        <w:t xml:space="preserve">ood </w:t>
      </w:r>
      <w:r>
        <w:t>L</w:t>
      </w:r>
      <w:r w:rsidRPr="008022EF">
        <w:t xml:space="preserve">ives </w:t>
      </w:r>
      <w:r>
        <w:t xml:space="preserve">has 8 </w:t>
      </w:r>
      <w:r w:rsidRPr="008022EF">
        <w:t>principles</w:t>
      </w:r>
      <w:r>
        <w:t>.</w:t>
      </w:r>
    </w:p>
    <w:p w14:paraId="2B9E9E75" w14:textId="77777777" w:rsidR="003553C9" w:rsidRDefault="003553C9" w:rsidP="00395CB9">
      <w:pPr>
        <w:pStyle w:val="FootnoteText"/>
        <w:numPr>
          <w:ilvl w:val="0"/>
          <w:numId w:val="11"/>
        </w:numPr>
        <w:ind w:left="357" w:hanging="357"/>
      </w:pPr>
      <w:r w:rsidRPr="680B6085">
        <w:rPr>
          <w:b/>
        </w:rPr>
        <w:t>Self-determination</w:t>
      </w:r>
      <w:r>
        <w:rPr>
          <w:bCs/>
        </w:rPr>
        <w:t>:</w:t>
      </w:r>
      <w:r w:rsidRPr="680B6085">
        <w:rPr>
          <w:b/>
        </w:rPr>
        <w:t xml:space="preserve"> </w:t>
      </w:r>
      <w:r w:rsidRPr="680B6085">
        <w:t>Disabled people are in control of their lives.</w:t>
      </w:r>
    </w:p>
    <w:p w14:paraId="7F31A712" w14:textId="77777777" w:rsidR="003553C9" w:rsidRDefault="003553C9" w:rsidP="00395CB9">
      <w:pPr>
        <w:pStyle w:val="FootnoteText"/>
        <w:numPr>
          <w:ilvl w:val="0"/>
          <w:numId w:val="11"/>
        </w:numPr>
        <w:ind w:left="357" w:hanging="357"/>
      </w:pPr>
      <w:r w:rsidRPr="680B6085">
        <w:rPr>
          <w:b/>
        </w:rPr>
        <w:t>Beginning early</w:t>
      </w:r>
      <w:r>
        <w:rPr>
          <w:bCs/>
        </w:rPr>
        <w:t>:</w:t>
      </w:r>
      <w:r w:rsidRPr="680B6085">
        <w:rPr>
          <w:b/>
        </w:rPr>
        <w:t xml:space="preserve"> </w:t>
      </w:r>
      <w:r w:rsidRPr="680B6085">
        <w:t>Invest early in families and whānau to support them; to be aspirational for their disabled child; to build community and natural supports; and to support disabled children to become independent, rather than waiting for a crisis before support is available.</w:t>
      </w:r>
    </w:p>
    <w:p w14:paraId="2EE36310" w14:textId="77777777" w:rsidR="003553C9" w:rsidRDefault="003553C9" w:rsidP="00395CB9">
      <w:pPr>
        <w:pStyle w:val="FootnoteText"/>
        <w:numPr>
          <w:ilvl w:val="0"/>
          <w:numId w:val="11"/>
        </w:numPr>
        <w:ind w:left="357" w:hanging="357"/>
      </w:pPr>
      <w:r w:rsidRPr="680B6085">
        <w:rPr>
          <w:b/>
        </w:rPr>
        <w:t>Person-centred</w:t>
      </w:r>
      <w:r>
        <w:rPr>
          <w:bCs/>
        </w:rPr>
        <w:t>:</w:t>
      </w:r>
      <w:r w:rsidRPr="680B6085">
        <w:rPr>
          <w:b/>
        </w:rPr>
        <w:t xml:space="preserve"> </w:t>
      </w:r>
      <w:r w:rsidRPr="680B6085">
        <w:t>Disabled people have supports that are tailored to their individual needs and goals, and that take a whole</w:t>
      </w:r>
      <w:r>
        <w:t>-of-</w:t>
      </w:r>
      <w:r w:rsidRPr="680B6085">
        <w:t>life approach rather than being split across programmes.</w:t>
      </w:r>
    </w:p>
    <w:p w14:paraId="645C2AA9" w14:textId="77777777" w:rsidR="003553C9" w:rsidRDefault="003553C9" w:rsidP="00395CB9">
      <w:pPr>
        <w:pStyle w:val="FootnoteText"/>
        <w:numPr>
          <w:ilvl w:val="0"/>
          <w:numId w:val="11"/>
        </w:numPr>
        <w:ind w:left="357" w:hanging="357"/>
      </w:pPr>
      <w:r w:rsidRPr="680B6085">
        <w:rPr>
          <w:b/>
        </w:rPr>
        <w:t>Ordinary life outcomes</w:t>
      </w:r>
      <w:r>
        <w:rPr>
          <w:bCs/>
        </w:rPr>
        <w:t>:</w:t>
      </w:r>
      <w:r w:rsidRPr="680B6085">
        <w:rPr>
          <w:b/>
        </w:rPr>
        <w:t xml:space="preserve"> </w:t>
      </w:r>
      <w:r w:rsidRPr="680B6085">
        <w:t xml:space="preserve">Disabled people are supported to live an everyday life in everyday places; and are regarded as citizens with opportunities for learning, employment, having a home and family, and social participation </w:t>
      </w:r>
      <w:r>
        <w:t>—</w:t>
      </w:r>
      <w:r w:rsidRPr="680B6085">
        <w:t xml:space="preserve"> like others at similar stages of life.</w:t>
      </w:r>
    </w:p>
    <w:p w14:paraId="3EDD8B08" w14:textId="77777777" w:rsidR="003553C9" w:rsidRDefault="003553C9" w:rsidP="00395CB9">
      <w:pPr>
        <w:pStyle w:val="FootnoteText"/>
        <w:numPr>
          <w:ilvl w:val="0"/>
          <w:numId w:val="11"/>
        </w:numPr>
        <w:ind w:left="357" w:hanging="357"/>
      </w:pPr>
      <w:r w:rsidRPr="680B6085">
        <w:rPr>
          <w:b/>
        </w:rPr>
        <w:t>Mainstream first</w:t>
      </w:r>
      <w:r>
        <w:rPr>
          <w:bCs/>
        </w:rPr>
        <w:t>:</w:t>
      </w:r>
      <w:r w:rsidRPr="680B6085">
        <w:rPr>
          <w:b/>
        </w:rPr>
        <w:t xml:space="preserve"> </w:t>
      </w:r>
      <w:r w:rsidRPr="680B6085">
        <w:t>Disabled people are supported to access mainstream services before specialist disability services.</w:t>
      </w:r>
    </w:p>
    <w:p w14:paraId="542B927D" w14:textId="77777777" w:rsidR="003553C9" w:rsidRDefault="003553C9" w:rsidP="00395CB9">
      <w:pPr>
        <w:pStyle w:val="FootnoteText"/>
        <w:numPr>
          <w:ilvl w:val="0"/>
          <w:numId w:val="11"/>
        </w:numPr>
        <w:ind w:left="357" w:hanging="357"/>
      </w:pPr>
      <w:r w:rsidRPr="680B6085">
        <w:rPr>
          <w:b/>
        </w:rPr>
        <w:t>Mana enhancing</w:t>
      </w:r>
      <w:r>
        <w:rPr>
          <w:bCs/>
        </w:rPr>
        <w:t>:</w:t>
      </w:r>
      <w:r w:rsidRPr="680B6085">
        <w:rPr>
          <w:b/>
        </w:rPr>
        <w:t xml:space="preserve"> </w:t>
      </w:r>
      <w:r w:rsidRPr="680B6085">
        <w:t>The abilities and contributions of disabled people and their families are recognised and respected.</w:t>
      </w:r>
    </w:p>
    <w:p w14:paraId="269FA46C" w14:textId="77777777" w:rsidR="003553C9" w:rsidRDefault="003553C9" w:rsidP="00395CB9">
      <w:pPr>
        <w:pStyle w:val="FootnoteText"/>
        <w:numPr>
          <w:ilvl w:val="0"/>
          <w:numId w:val="11"/>
        </w:numPr>
        <w:ind w:left="357" w:hanging="357"/>
      </w:pPr>
      <w:r w:rsidRPr="680B6085">
        <w:rPr>
          <w:b/>
        </w:rPr>
        <w:t>Easy to use</w:t>
      </w:r>
      <w:r>
        <w:rPr>
          <w:bCs/>
        </w:rPr>
        <w:t>:</w:t>
      </w:r>
      <w:r w:rsidRPr="680B6085">
        <w:rPr>
          <w:b/>
        </w:rPr>
        <w:t xml:space="preserve"> </w:t>
      </w:r>
      <w:r w:rsidRPr="680B6085">
        <w:t>Disabled people have supports that are simple to use and flexible.</w:t>
      </w:r>
    </w:p>
    <w:p w14:paraId="557382FF" w14:textId="77777777" w:rsidR="003553C9" w:rsidRDefault="003553C9" w:rsidP="00395CB9">
      <w:pPr>
        <w:pStyle w:val="FootnoteText"/>
        <w:numPr>
          <w:ilvl w:val="0"/>
          <w:numId w:val="11"/>
        </w:numPr>
        <w:ind w:left="357" w:hanging="357"/>
      </w:pPr>
      <w:r w:rsidRPr="00CF47E1">
        <w:rPr>
          <w:b/>
        </w:rPr>
        <w:t>Relationship building</w:t>
      </w:r>
      <w:r>
        <w:rPr>
          <w:bCs/>
        </w:rPr>
        <w:t>:</w:t>
      </w:r>
      <w:r w:rsidRPr="00CF47E1">
        <w:rPr>
          <w:b/>
        </w:rPr>
        <w:t xml:space="preserve"> </w:t>
      </w:r>
      <w:r w:rsidRPr="680B6085">
        <w:t>Supports build and strengthen relationships between disabled people, their whānau and community.</w:t>
      </w:r>
    </w:p>
  </w:footnote>
  <w:footnote w:id="8">
    <w:p w14:paraId="213EABD5" w14:textId="77777777" w:rsidR="003553C9" w:rsidRPr="00B55F3E" w:rsidRDefault="003553C9" w:rsidP="00D23483">
      <w:pPr>
        <w:pStyle w:val="FootnoteText"/>
        <w:rPr>
          <w:rFonts w:cs="Segoe UI"/>
          <w:lang w:val="mi-NZ"/>
        </w:rPr>
      </w:pPr>
      <w:r w:rsidRPr="00B55F3E">
        <w:rPr>
          <w:rStyle w:val="FootnoteReference"/>
          <w:rFonts w:cs="Segoe UI"/>
        </w:rPr>
        <w:footnoteRef/>
      </w:r>
      <w:r w:rsidRPr="00B55F3E">
        <w:rPr>
          <w:rFonts w:cs="Segoe UI"/>
        </w:rPr>
        <w:t xml:space="preserve"> Fetal death is the death of a fetus at 20 weeks’ gestation or </w:t>
      </w:r>
      <w:r>
        <w:rPr>
          <w:rFonts w:cs="Segoe UI"/>
        </w:rPr>
        <w:t>later</w:t>
      </w:r>
      <w:r w:rsidRPr="00B55F3E">
        <w:rPr>
          <w:rFonts w:cs="Segoe UI"/>
        </w:rPr>
        <w:t xml:space="preserve"> or</w:t>
      </w:r>
      <w:r>
        <w:rPr>
          <w:rFonts w:cs="Segoe UI"/>
        </w:rPr>
        <w:t>,</w:t>
      </w:r>
      <w:r w:rsidRPr="00B55F3E">
        <w:rPr>
          <w:rFonts w:cs="Segoe UI"/>
        </w:rPr>
        <w:t xml:space="preserve"> if gestation is unknown</w:t>
      </w:r>
      <w:r>
        <w:rPr>
          <w:rFonts w:cs="Segoe UI"/>
        </w:rPr>
        <w:t>, a fetus</w:t>
      </w:r>
      <w:r w:rsidRPr="00B55F3E">
        <w:rPr>
          <w:rFonts w:cs="Segoe UI"/>
        </w:rPr>
        <w:t xml:space="preserve"> weighing at least 400</w:t>
      </w:r>
      <w:r>
        <w:rPr>
          <w:rFonts w:cs="Segoe UI"/>
        </w:rPr>
        <w:t xml:space="preserve"> </w:t>
      </w:r>
      <w:r w:rsidRPr="00B55F3E">
        <w:rPr>
          <w:rFonts w:cs="Segoe UI"/>
        </w:rPr>
        <w:t>g</w:t>
      </w:r>
      <w:r>
        <w:rPr>
          <w:rFonts w:cs="Segoe UI"/>
        </w:rPr>
        <w:t>rams.</w:t>
      </w:r>
    </w:p>
  </w:footnote>
  <w:footnote w:id="9">
    <w:p w14:paraId="7C52DD65" w14:textId="77777777" w:rsidR="003553C9" w:rsidRPr="001D51EB" w:rsidRDefault="003553C9" w:rsidP="00D23483">
      <w:pPr>
        <w:pStyle w:val="FootnoteText"/>
        <w:rPr>
          <w:rFonts w:cs="Wingdings"/>
          <w:szCs w:val="21"/>
        </w:rPr>
      </w:pPr>
      <w:r w:rsidRPr="00B55F3E">
        <w:rPr>
          <w:rStyle w:val="FootnoteReference"/>
          <w:rFonts w:cs="Segoe UI"/>
          <w:szCs w:val="17"/>
        </w:rPr>
        <w:footnoteRef/>
      </w:r>
      <w:r w:rsidRPr="00B55F3E">
        <w:t xml:space="preserve"> Infant death is the death of an infant before </w:t>
      </w:r>
      <w:r>
        <w:t>their</w:t>
      </w:r>
      <w:r w:rsidRPr="00B55F3E">
        <w:t xml:space="preserve"> first birthday. The infant mortality rate is the number of infant deaths for every 1,000 live births</w:t>
      </w:r>
      <w:r>
        <w:rPr>
          <w:szCs w:val="21"/>
        </w:rPr>
        <w:t>.</w:t>
      </w:r>
    </w:p>
  </w:footnote>
  <w:footnote w:id="10">
    <w:p w14:paraId="120475CA" w14:textId="77777777" w:rsidR="003553C9" w:rsidRDefault="003553C9" w:rsidP="00D23483">
      <w:pPr>
        <w:pStyle w:val="FootnoteText"/>
      </w:pPr>
      <w:r>
        <w:rPr>
          <w:rStyle w:val="FootnoteReference"/>
        </w:rPr>
        <w:footnoteRef/>
      </w:r>
      <w:r>
        <w:t xml:space="preserve"> Post-neonatal death is the death of a live-born infant after 28 completed days and before the first year of life is completed.</w:t>
      </w:r>
    </w:p>
  </w:footnote>
  <w:footnote w:id="11">
    <w:p w14:paraId="2AC3E73A" w14:textId="77777777" w:rsidR="003553C9" w:rsidRPr="007E4FC6" w:rsidRDefault="003553C9" w:rsidP="0041567E">
      <w:pPr>
        <w:pStyle w:val="FootnoteText"/>
        <w:rPr>
          <w:lang w:val="mi-NZ"/>
        </w:rPr>
      </w:pPr>
      <w:r w:rsidRPr="00B55F3E">
        <w:rPr>
          <w:rStyle w:val="FootnoteReference"/>
          <w:rFonts w:cs="Segoe UI"/>
        </w:rPr>
        <w:footnoteRef/>
      </w:r>
      <w:r w:rsidRPr="00B55F3E">
        <w:rPr>
          <w:rFonts w:cs="Segoe UI"/>
          <w:szCs w:val="17"/>
        </w:rPr>
        <w:t xml:space="preserve"> </w:t>
      </w:r>
      <w:r w:rsidRPr="00B55F3E">
        <w:rPr>
          <w:rFonts w:cs="Segoe UI"/>
          <w:color w:val="040C28"/>
          <w:szCs w:val="17"/>
        </w:rPr>
        <w:t>One DALY represents the loss of the equivalent of one year of full healt</w:t>
      </w:r>
      <w:r w:rsidRPr="00AF7E00">
        <w:rPr>
          <w:rFonts w:cs="Wingdings"/>
          <w:color w:val="040C28"/>
          <w:szCs w:val="17"/>
        </w:rPr>
        <w:t>h</w:t>
      </w:r>
      <w:r>
        <w:rPr>
          <w:rFonts w:cs="Wingdings"/>
          <w:color w:val="040C28"/>
          <w:szCs w:val="17"/>
        </w:rPr>
        <w:t>.</w:t>
      </w:r>
    </w:p>
  </w:footnote>
  <w:footnote w:id="12">
    <w:p w14:paraId="2120EF41" w14:textId="77777777" w:rsidR="003553C9" w:rsidRDefault="003553C9" w:rsidP="00637847">
      <w:pPr>
        <w:pStyle w:val="FootnoteText"/>
      </w:pPr>
      <w:r>
        <w:rPr>
          <w:rStyle w:val="FootnoteReference"/>
        </w:rPr>
        <w:footnoteRef/>
      </w:r>
      <w:r>
        <w:t xml:space="preserve"> </w:t>
      </w:r>
      <w:r>
        <w:rPr>
          <w:rFonts w:cs="Segoe UI"/>
        </w:rPr>
        <w:t xml:space="preserve">The definition of </w:t>
      </w:r>
      <w:r w:rsidRPr="00BF22E4">
        <w:rPr>
          <w:rFonts w:cs="Segoe UI"/>
        </w:rPr>
        <w:t>emotional or behavioural problems</w:t>
      </w:r>
      <w:r>
        <w:rPr>
          <w:rFonts w:cs="Segoe UI"/>
        </w:rPr>
        <w:t xml:space="preserve"> is that</w:t>
      </w:r>
      <w:r w:rsidRPr="00BF22E4">
        <w:rPr>
          <w:rFonts w:cs="Segoe UI"/>
        </w:rPr>
        <w:t xml:space="preserve"> a doctor </w:t>
      </w:r>
      <w:r>
        <w:rPr>
          <w:rFonts w:cs="Segoe UI"/>
        </w:rPr>
        <w:t xml:space="preserve">has said </w:t>
      </w:r>
      <w:r w:rsidRPr="00BF22E4">
        <w:rPr>
          <w:rFonts w:cs="Segoe UI"/>
        </w:rPr>
        <w:t>that the child has depression, anxiety (which includes panic attacks), phobia, post-traumatic stress, obsessive-compulsive disorder, attention deficit disorder or attention deficit hyperactivity disorder (ADHD)</w:t>
      </w:r>
      <w:r>
        <w:rPr>
          <w:rFonts w:cs="Segoe UI"/>
        </w:rPr>
        <w:t>.</w:t>
      </w:r>
    </w:p>
  </w:footnote>
  <w:footnote w:id="13">
    <w:p w14:paraId="07874B96" w14:textId="77777777" w:rsidR="003553C9" w:rsidRPr="00D31264" w:rsidRDefault="003553C9" w:rsidP="00637847">
      <w:pPr>
        <w:shd w:val="clear" w:color="auto" w:fill="FFFFFF"/>
        <w:spacing w:after="150"/>
        <w:ind w:left="284" w:hanging="284"/>
        <w:rPr>
          <w:rFonts w:eastAsia="&quot;Calibri&quot;,sans-serif" w:cs="Segoe UI"/>
          <w:sz w:val="20"/>
        </w:rPr>
      </w:pPr>
      <w:r w:rsidRPr="00D31264">
        <w:rPr>
          <w:rStyle w:val="FootnoteReference"/>
          <w:rFonts w:cs="Segoe UI"/>
          <w:sz w:val="17"/>
          <w:szCs w:val="17"/>
        </w:rPr>
        <w:footnoteRef/>
      </w:r>
      <w:r w:rsidRPr="00D31264">
        <w:rPr>
          <w:rFonts w:cs="Segoe UI"/>
          <w:sz w:val="17"/>
          <w:szCs w:val="17"/>
        </w:rPr>
        <w:t xml:space="preserve"> </w:t>
      </w:r>
      <w:r w:rsidRPr="00637847">
        <w:rPr>
          <w:rStyle w:val="FootnoteTextChar"/>
          <w:rFonts w:eastAsia="&quot;Calibri&quot;,sans-serif"/>
        </w:rPr>
        <w:t>A provisional suicide classification may be made before the coroner has reached a finding. The Chief Coroner reports these cases, describing them as ‘suspected intentionally self-inflicted deaths’.</w:t>
      </w:r>
    </w:p>
  </w:footnote>
  <w:footnote w:id="14">
    <w:p w14:paraId="2EEFCF87" w14:textId="77777777" w:rsidR="003553C9" w:rsidRPr="00E05AA3" w:rsidRDefault="003553C9" w:rsidP="00395CB9">
      <w:pPr>
        <w:pStyle w:val="FootnoteText"/>
        <w:rPr>
          <w:rFonts w:cs="Segoe UI"/>
          <w:sz w:val="16"/>
          <w:szCs w:val="16"/>
          <w:lang w:val="mi-NZ"/>
        </w:rPr>
      </w:pPr>
      <w:r w:rsidRPr="00E05AA3">
        <w:rPr>
          <w:rStyle w:val="FootnoteReference"/>
          <w:rFonts w:cs="Segoe UI"/>
          <w:sz w:val="16"/>
          <w:szCs w:val="16"/>
        </w:rPr>
        <w:footnoteRef/>
      </w:r>
      <w:r w:rsidRPr="00E05AA3">
        <w:rPr>
          <w:rFonts w:cs="Segoe UI"/>
          <w:sz w:val="16"/>
          <w:szCs w:val="16"/>
        </w:rPr>
        <w:t xml:space="preserve"> </w:t>
      </w:r>
      <w:r w:rsidRPr="00E05AA3">
        <w:rPr>
          <w:rFonts w:cs="Segoe UI"/>
          <w:color w:val="333333"/>
          <w:sz w:val="16"/>
          <w:szCs w:val="16"/>
          <w:shd w:val="clear" w:color="auto" w:fill="FFFFFF"/>
        </w:rPr>
        <w:t xml:space="preserve">Interpret with caution as the relative sampling error </w:t>
      </w:r>
      <w:r>
        <w:rPr>
          <w:rFonts w:cs="Segoe UI"/>
          <w:color w:val="333333"/>
          <w:sz w:val="16"/>
          <w:szCs w:val="16"/>
          <w:shd w:val="clear" w:color="auto" w:fill="FFFFFF"/>
        </w:rPr>
        <w:t>(</w:t>
      </w:r>
      <w:r w:rsidRPr="00E05AA3">
        <w:rPr>
          <w:rFonts w:cs="Segoe UI"/>
          <w:color w:val="333333"/>
          <w:sz w:val="16"/>
          <w:szCs w:val="16"/>
          <w:shd w:val="clear" w:color="auto" w:fill="FFFFFF"/>
        </w:rPr>
        <w:t>the size of the sampling error relative to the result) is over 30%.</w:t>
      </w:r>
    </w:p>
  </w:footnote>
  <w:footnote w:id="15">
    <w:p w14:paraId="1A599490" w14:textId="77777777" w:rsidR="003553C9" w:rsidRDefault="003553C9" w:rsidP="00395CB9">
      <w:pPr>
        <w:pStyle w:val="FootnoteText"/>
      </w:pPr>
      <w:r w:rsidRPr="00684442">
        <w:rPr>
          <w:rStyle w:val="FootnoteReference"/>
          <w:color w:val="595959" w:themeColor="text1" w:themeTint="A6"/>
        </w:rPr>
        <w:footnoteRef/>
      </w:r>
      <w:r w:rsidRPr="00684442">
        <w:rPr>
          <w:color w:val="595959" w:themeColor="text1" w:themeTint="A6"/>
        </w:rPr>
        <w:t xml:space="preserve"> D</w:t>
      </w:r>
      <w:r w:rsidRPr="00684442">
        <w:rPr>
          <w:rFonts w:cs="Segoe UI"/>
          <w:color w:val="595959" w:themeColor="text1" w:themeTint="A6"/>
        </w:rPr>
        <w:t xml:space="preserve">aily </w:t>
      </w:r>
      <w:r w:rsidRPr="00BF22E4">
        <w:rPr>
          <w:rFonts w:cs="Segoe UI"/>
          <w:color w:val="333333"/>
        </w:rPr>
        <w:t>smokers are defined as people aged 15 years and over who smoke at least once a day and have smoked more than 100 cigarettes in their whole life</w:t>
      </w:r>
      <w:r>
        <w:rPr>
          <w:rFonts w:cs="Segoe UI"/>
          <w:color w:val="333333"/>
        </w:rPr>
        <w:t>.</w:t>
      </w:r>
    </w:p>
  </w:footnote>
  <w:footnote w:id="16">
    <w:p w14:paraId="1C496A7D" w14:textId="77777777" w:rsidR="003553C9" w:rsidRDefault="003553C9" w:rsidP="00395CB9">
      <w:pPr>
        <w:pStyle w:val="FootnoteText"/>
      </w:pPr>
      <w:r>
        <w:rPr>
          <w:rStyle w:val="FootnoteReference"/>
        </w:rPr>
        <w:footnoteRef/>
      </w:r>
      <w:r>
        <w:t xml:space="preserve"> </w:t>
      </w:r>
      <w:r>
        <w:rPr>
          <w:rFonts w:cs="Segoe UI"/>
          <w:lang w:eastAsia="en-NZ"/>
        </w:rPr>
        <w:t>T</w:t>
      </w:r>
      <w:r w:rsidRPr="00BF22E4">
        <w:rPr>
          <w:rFonts w:cs="Segoe UI"/>
          <w:lang w:eastAsia="en-NZ"/>
        </w:rPr>
        <w:t>rying electronic cigarettes</w:t>
      </w:r>
      <w:r>
        <w:rPr>
          <w:rFonts w:cs="Segoe UI"/>
          <w:lang w:eastAsia="en-NZ"/>
        </w:rPr>
        <w:t xml:space="preserve"> is</w:t>
      </w:r>
      <w:r w:rsidRPr="00BF22E4">
        <w:rPr>
          <w:rFonts w:cs="Segoe UI"/>
          <w:lang w:eastAsia="en-NZ"/>
        </w:rPr>
        <w:t xml:space="preserve"> defined as having ever tried an electronic cigarette or a vaping device, even just a puff or ‘vape’</w:t>
      </w:r>
      <w:r>
        <w:rPr>
          <w:rFonts w:cs="Segoe UI"/>
          <w:lang w:eastAsia="en-NZ"/>
        </w:rPr>
        <w:t>.</w:t>
      </w:r>
    </w:p>
  </w:footnote>
  <w:footnote w:id="17">
    <w:p w14:paraId="18726F2F" w14:textId="77777777" w:rsidR="003553C9" w:rsidRDefault="003553C9" w:rsidP="00395CB9">
      <w:pPr>
        <w:pStyle w:val="FootnoteText"/>
      </w:pPr>
      <w:r>
        <w:rPr>
          <w:rStyle w:val="FootnoteReference"/>
        </w:rPr>
        <w:footnoteRef/>
      </w:r>
      <w:r>
        <w:t xml:space="preserve"> </w:t>
      </w:r>
      <w:r w:rsidRPr="00BF22E4">
        <w:rPr>
          <w:rFonts w:cs="Segoe UI"/>
        </w:rPr>
        <w:t>The denominator for the estimate is based on census population projections.</w:t>
      </w:r>
    </w:p>
  </w:footnote>
  <w:footnote w:id="18">
    <w:p w14:paraId="792029D3" w14:textId="77777777" w:rsidR="003553C9" w:rsidRPr="00011033" w:rsidRDefault="003553C9" w:rsidP="00395CB9">
      <w:pPr>
        <w:pStyle w:val="FootnoteText"/>
        <w:rPr>
          <w:lang w:val="mi-NZ"/>
        </w:rPr>
      </w:pPr>
      <w:r w:rsidRPr="009E0AFE">
        <w:rPr>
          <w:rStyle w:val="FootnoteReference"/>
          <w:rFonts w:cs="Segoe UI"/>
        </w:rPr>
        <w:footnoteRef/>
      </w:r>
      <w:r w:rsidRPr="009E0AFE">
        <w:rPr>
          <w:rFonts w:cs="Segoe UI"/>
        </w:rPr>
        <w:t xml:space="preserve"> </w:t>
      </w:r>
      <w:r>
        <w:rPr>
          <w:rFonts w:cs="Segoe UI"/>
        </w:rPr>
        <w:t>Health users are defined as p</w:t>
      </w:r>
      <w:r w:rsidRPr="009E0AFE">
        <w:rPr>
          <w:rFonts w:cs="Segoe UI"/>
        </w:rPr>
        <w:t xml:space="preserve">eople receiving health services in </w:t>
      </w:r>
      <w:r>
        <w:rPr>
          <w:rFonts w:cs="Segoe UI"/>
        </w:rPr>
        <w:t xml:space="preserve">Aotearoa </w:t>
      </w:r>
      <w:r w:rsidRPr="009E0AFE">
        <w:rPr>
          <w:rFonts w:cs="Segoe UI"/>
        </w:rPr>
        <w:t>New Zealand each year</w:t>
      </w:r>
      <w:r>
        <w:rPr>
          <w:rFonts w:cs="Segoe UI"/>
        </w:rPr>
        <w:t>. For example, they may be</w:t>
      </w:r>
      <w:r w:rsidRPr="009E0AFE">
        <w:rPr>
          <w:rFonts w:cs="Segoe UI"/>
        </w:rPr>
        <w:t xml:space="preserve"> admitted to hospital, attend emergency departments, fill prescriptions, </w:t>
      </w:r>
      <w:r>
        <w:rPr>
          <w:rFonts w:cs="Segoe UI"/>
        </w:rPr>
        <w:t xml:space="preserve">or be </w:t>
      </w:r>
      <w:r w:rsidRPr="009E0AFE">
        <w:rPr>
          <w:rFonts w:cs="Segoe UI"/>
        </w:rPr>
        <w:t>enrolled with a PHO</w:t>
      </w:r>
      <w:r>
        <w:rPr>
          <w:rFonts w:cs="Segoe UI"/>
        </w:rPr>
        <w:t xml:space="preserve"> or</w:t>
      </w:r>
      <w:r w:rsidRPr="009E0AFE">
        <w:rPr>
          <w:rFonts w:cs="Segoe UI"/>
        </w:rPr>
        <w:t xml:space="preserve"> general practice.</w:t>
      </w:r>
      <w:r w:rsidRPr="00344776">
        <w:t xml:space="preserve"> </w:t>
      </w:r>
    </w:p>
  </w:footnote>
  <w:footnote w:id="19">
    <w:p w14:paraId="0748724F" w14:textId="77777777" w:rsidR="003553C9" w:rsidRPr="00273D3F" w:rsidRDefault="003553C9" w:rsidP="00395CB9">
      <w:pPr>
        <w:pStyle w:val="FootnoteText"/>
        <w:rPr>
          <w:rFonts w:cs="Segoe UI"/>
          <w:lang w:val="mi-NZ"/>
        </w:rPr>
      </w:pPr>
      <w:r w:rsidRPr="00273D3F">
        <w:rPr>
          <w:rStyle w:val="FootnoteReference"/>
          <w:rFonts w:cs="Segoe UI"/>
        </w:rPr>
        <w:footnoteRef/>
      </w:r>
      <w:r w:rsidRPr="00273D3F">
        <w:rPr>
          <w:rFonts w:cs="Segoe UI"/>
        </w:rPr>
        <w:t xml:space="preserve"> As at data extraction date of 17 March 2023</w:t>
      </w:r>
      <w:r>
        <w:rPr>
          <w:rFonts w:cs="Segoe UI"/>
        </w:rPr>
        <w:t>.</w:t>
      </w:r>
    </w:p>
  </w:footnote>
  <w:footnote w:id="20">
    <w:p w14:paraId="0155FCCC" w14:textId="77777777" w:rsidR="003553C9" w:rsidRPr="00273D3F" w:rsidRDefault="003553C9" w:rsidP="00395CB9">
      <w:pPr>
        <w:pStyle w:val="FootnoteText"/>
        <w:rPr>
          <w:rFonts w:cs="Segoe UI"/>
        </w:rPr>
      </w:pPr>
      <w:r w:rsidRPr="00273D3F">
        <w:rPr>
          <w:rStyle w:val="FootnoteReference"/>
          <w:rFonts w:cs="Segoe UI"/>
        </w:rPr>
        <w:footnoteRef/>
      </w:r>
      <w:r w:rsidRPr="00273D3F">
        <w:rPr>
          <w:rFonts w:cs="Segoe UI"/>
        </w:rPr>
        <w:t xml:space="preserve"> As at data extraction date of 17 March 2023</w:t>
      </w:r>
      <w:r>
        <w:rPr>
          <w:rFonts w:cs="Segoe U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3553C9" w14:paraId="11530A0D" w14:textId="77777777" w:rsidTr="008F2B72">
      <w:trPr>
        <w:cantSplit/>
      </w:trPr>
      <w:tc>
        <w:tcPr>
          <w:tcW w:w="5210" w:type="dxa"/>
          <w:vAlign w:val="center"/>
        </w:tcPr>
        <w:p w14:paraId="2BDE3162" w14:textId="5AA7A0BB" w:rsidR="003553C9" w:rsidRDefault="00AB6368" w:rsidP="00B26F0F">
          <w:pPr>
            <w:pStyle w:val="Header"/>
          </w:pPr>
          <w:bookmarkStart w:id="0" w:name="_Hlk110933925"/>
          <w:r>
            <w:rPr>
              <w:noProof/>
              <w:lang w:eastAsia="en-NZ"/>
            </w:rPr>
            <w:drawing>
              <wp:inline distT="0" distB="0" distL="0" distR="0" wp14:anchorId="6BCE0AC9" wp14:editId="43DD1455">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59133E8" w:rsidR="003553C9" w:rsidRDefault="00E332D6" w:rsidP="00B51F42">
          <w:pPr>
            <w:pStyle w:val="Header"/>
            <w:jc w:val="right"/>
          </w:pPr>
          <w:r>
            <w:rPr>
              <w:noProof/>
            </w:rPr>
            <w:drawing>
              <wp:anchor distT="0" distB="0" distL="114300" distR="114300" simplePos="0" relativeHeight="251659264" behindDoc="0" locked="0" layoutInCell="1" allowOverlap="1" wp14:anchorId="1E811FBA" wp14:editId="4FE86F95">
                <wp:simplePos x="0" y="0"/>
                <wp:positionH relativeFrom="column">
                  <wp:posOffset>1323975</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3553C9" w:rsidRDefault="00355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3553C9" w:rsidRDefault="003553C9"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3553C9" w:rsidRDefault="003553C9"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3553C9" w:rsidRDefault="003553C9"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3553C9" w:rsidRDefault="003553C9"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3553C9" w:rsidRDefault="00355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F76360E"/>
    <w:lvl w:ilvl="0">
      <w:start w:val="1"/>
      <w:numFmt w:val="lowerLetter"/>
      <w:pStyle w:val="ListNumber2"/>
      <w:lvlText w:val="%1."/>
      <w:lvlJc w:val="left"/>
      <w:pPr>
        <w:ind w:left="717" w:hanging="360"/>
      </w:pPr>
    </w:lvl>
  </w:abstractNum>
  <w:abstractNum w:abstractNumId="1" w15:restartNumberingAfterBreak="0">
    <w:nsid w:val="FFFFFF83"/>
    <w:multiLevelType w:val="singleLevel"/>
    <w:tmpl w:val="0B42362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3C4766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B5ECBF2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32106F"/>
    <w:multiLevelType w:val="multilevel"/>
    <w:tmpl w:val="FAFE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DengXian" w:hAnsi="DengXian" w:hint="default"/>
        <w:sz w:val="20"/>
      </w:rPr>
    </w:lvl>
    <w:lvl w:ilvl="2" w:tentative="1">
      <w:start w:val="1"/>
      <w:numFmt w:val="bullet"/>
      <w:lvlText w:val=""/>
      <w:lvlJc w:val="left"/>
      <w:pPr>
        <w:tabs>
          <w:tab w:val="num" w:pos="2160"/>
        </w:tabs>
        <w:ind w:left="2160" w:hanging="360"/>
      </w:pPr>
      <w:rPr>
        <w:rFonts w:ascii="&quot;Calibri&quot;,sans-serif" w:hAnsi="&quot;Calibri&quot;,sans-serif" w:hint="default"/>
        <w:sz w:val="20"/>
      </w:rPr>
    </w:lvl>
    <w:lvl w:ilvl="3" w:tentative="1">
      <w:start w:val="1"/>
      <w:numFmt w:val="bullet"/>
      <w:lvlText w:val=""/>
      <w:lvlJc w:val="left"/>
      <w:pPr>
        <w:tabs>
          <w:tab w:val="num" w:pos="2880"/>
        </w:tabs>
        <w:ind w:left="2880" w:hanging="360"/>
      </w:pPr>
      <w:rPr>
        <w:rFonts w:ascii="&quot;Calibri&quot;,sans-serif" w:hAnsi="&quot;Calibri&quot;,sans-serif" w:hint="default"/>
        <w:sz w:val="20"/>
      </w:rPr>
    </w:lvl>
    <w:lvl w:ilvl="4" w:tentative="1">
      <w:start w:val="1"/>
      <w:numFmt w:val="bullet"/>
      <w:lvlText w:val=""/>
      <w:lvlJc w:val="left"/>
      <w:pPr>
        <w:tabs>
          <w:tab w:val="num" w:pos="3600"/>
        </w:tabs>
        <w:ind w:left="3600" w:hanging="360"/>
      </w:pPr>
      <w:rPr>
        <w:rFonts w:ascii="&quot;Calibri&quot;,sans-serif" w:hAnsi="&quot;Calibri&quot;,sans-serif" w:hint="default"/>
        <w:sz w:val="20"/>
      </w:rPr>
    </w:lvl>
    <w:lvl w:ilvl="5" w:tentative="1">
      <w:start w:val="1"/>
      <w:numFmt w:val="bullet"/>
      <w:lvlText w:val=""/>
      <w:lvlJc w:val="left"/>
      <w:pPr>
        <w:tabs>
          <w:tab w:val="num" w:pos="4320"/>
        </w:tabs>
        <w:ind w:left="4320" w:hanging="360"/>
      </w:pPr>
      <w:rPr>
        <w:rFonts w:ascii="&quot;Calibri&quot;,sans-serif" w:hAnsi="&quot;Calibri&quot;,sans-serif" w:hint="default"/>
        <w:sz w:val="20"/>
      </w:rPr>
    </w:lvl>
    <w:lvl w:ilvl="6" w:tentative="1">
      <w:start w:val="1"/>
      <w:numFmt w:val="bullet"/>
      <w:lvlText w:val=""/>
      <w:lvlJc w:val="left"/>
      <w:pPr>
        <w:tabs>
          <w:tab w:val="num" w:pos="5040"/>
        </w:tabs>
        <w:ind w:left="5040" w:hanging="360"/>
      </w:pPr>
      <w:rPr>
        <w:rFonts w:ascii="&quot;Calibri&quot;,sans-serif" w:hAnsi="&quot;Calibri&quot;,sans-serif" w:hint="default"/>
        <w:sz w:val="20"/>
      </w:rPr>
    </w:lvl>
    <w:lvl w:ilvl="7" w:tentative="1">
      <w:start w:val="1"/>
      <w:numFmt w:val="bullet"/>
      <w:lvlText w:val=""/>
      <w:lvlJc w:val="left"/>
      <w:pPr>
        <w:tabs>
          <w:tab w:val="num" w:pos="5760"/>
        </w:tabs>
        <w:ind w:left="5760" w:hanging="360"/>
      </w:pPr>
      <w:rPr>
        <w:rFonts w:ascii="&quot;Calibri&quot;,sans-serif" w:hAnsi="&quot;Calibri&quot;,sans-serif" w:hint="default"/>
        <w:sz w:val="20"/>
      </w:rPr>
    </w:lvl>
    <w:lvl w:ilvl="8" w:tentative="1">
      <w:start w:val="1"/>
      <w:numFmt w:val="bullet"/>
      <w:lvlText w:val=""/>
      <w:lvlJc w:val="left"/>
      <w:pPr>
        <w:tabs>
          <w:tab w:val="num" w:pos="6480"/>
        </w:tabs>
        <w:ind w:left="6480" w:hanging="360"/>
      </w:pPr>
      <w:rPr>
        <w:rFonts w:ascii="&quot;Calibri&quot;,sans-serif" w:hAnsi="&quot;Calibri&quot;,sans-serif" w:hint="default"/>
        <w:sz w:val="20"/>
      </w:rPr>
    </w:lvl>
  </w:abstractNum>
  <w:abstractNum w:abstractNumId="9" w15:restartNumberingAfterBreak="0">
    <w:nsid w:val="68F12CE7"/>
    <w:multiLevelType w:val="hybridMultilevel"/>
    <w:tmpl w:val="C84C8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0"/>
  </w:num>
  <w:num w:numId="2">
    <w:abstractNumId w:val="6"/>
  </w:num>
  <w:num w:numId="3">
    <w:abstractNumId w:val="7"/>
  </w:num>
  <w:num w:numId="4">
    <w:abstractNumId w:val="4"/>
  </w:num>
  <w:num w:numId="5">
    <w:abstractNumId w:val="5"/>
  </w:num>
  <w:num w:numId="6">
    <w:abstractNumId w:val="2"/>
  </w:num>
  <w:num w:numId="7">
    <w:abstractNumId w:val="0"/>
  </w:num>
  <w:num w:numId="8">
    <w:abstractNumId w:val="3"/>
  </w:num>
  <w:num w:numId="9">
    <w:abstractNumId w:val="2"/>
    <w:lvlOverride w:ilvl="0">
      <w:startOverride w:val="1"/>
    </w:lvlOverride>
  </w:num>
  <w:num w:numId="10">
    <w:abstractNumId w:val="2"/>
    <w:lvlOverride w:ilvl="0">
      <w:startOverride w:val="1"/>
    </w:lvlOverride>
  </w:num>
  <w:num w:numId="11">
    <w:abstractNumId w:val="9"/>
  </w:num>
  <w:num w:numId="12">
    <w:abstractNumId w:val="2"/>
    <w:lvlOverride w:ilvl="0">
      <w:startOverride w:val="1"/>
    </w:lvlOverride>
  </w:num>
  <w:num w:numId="13">
    <w:abstractNumId w:val="2"/>
    <w:lvlOverride w:ilvl="0">
      <w:startOverride w:val="1"/>
    </w:lvlOverride>
  </w:num>
  <w:num w:numId="14">
    <w:abstractNumId w:val="1"/>
  </w:num>
  <w:num w:numId="15">
    <w:abstractNumId w:val="8"/>
  </w:num>
  <w:num w:numId="16">
    <w:abstractNumId w:val="2"/>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C7C"/>
    <w:rsid w:val="00005BB5"/>
    <w:rsid w:val="0001725C"/>
    <w:rsid w:val="00025A6F"/>
    <w:rsid w:val="00025EAD"/>
    <w:rsid w:val="0002618D"/>
    <w:rsid w:val="00030B26"/>
    <w:rsid w:val="00030E84"/>
    <w:rsid w:val="00031CAB"/>
    <w:rsid w:val="00032C0A"/>
    <w:rsid w:val="00034F2D"/>
    <w:rsid w:val="00035257"/>
    <w:rsid w:val="00035D68"/>
    <w:rsid w:val="00041EF7"/>
    <w:rsid w:val="00046F57"/>
    <w:rsid w:val="000523E1"/>
    <w:rsid w:val="00054B44"/>
    <w:rsid w:val="000558DD"/>
    <w:rsid w:val="000610AE"/>
    <w:rsid w:val="0006228D"/>
    <w:rsid w:val="00064713"/>
    <w:rsid w:val="00065F03"/>
    <w:rsid w:val="00072BD6"/>
    <w:rsid w:val="00073090"/>
    <w:rsid w:val="00075B78"/>
    <w:rsid w:val="000763E9"/>
    <w:rsid w:val="00082CD6"/>
    <w:rsid w:val="0008437D"/>
    <w:rsid w:val="00085AFE"/>
    <w:rsid w:val="00094800"/>
    <w:rsid w:val="000A39D3"/>
    <w:rsid w:val="000A41ED"/>
    <w:rsid w:val="000B00E9"/>
    <w:rsid w:val="000B0730"/>
    <w:rsid w:val="000B7C94"/>
    <w:rsid w:val="000D19F4"/>
    <w:rsid w:val="000D58DD"/>
    <w:rsid w:val="000E3E61"/>
    <w:rsid w:val="000E61B2"/>
    <w:rsid w:val="000E689C"/>
    <w:rsid w:val="000F00C2"/>
    <w:rsid w:val="000F0DC6"/>
    <w:rsid w:val="000F2AE2"/>
    <w:rsid w:val="000F2BFF"/>
    <w:rsid w:val="00102063"/>
    <w:rsid w:val="0010541C"/>
    <w:rsid w:val="00106F93"/>
    <w:rsid w:val="00111D50"/>
    <w:rsid w:val="00113B8E"/>
    <w:rsid w:val="00114571"/>
    <w:rsid w:val="0012053C"/>
    <w:rsid w:val="00122363"/>
    <w:rsid w:val="00125F44"/>
    <w:rsid w:val="001342C7"/>
    <w:rsid w:val="0013585C"/>
    <w:rsid w:val="00142261"/>
    <w:rsid w:val="00142954"/>
    <w:rsid w:val="001460E0"/>
    <w:rsid w:val="001472F0"/>
    <w:rsid w:val="00147F71"/>
    <w:rsid w:val="00150A6E"/>
    <w:rsid w:val="00153328"/>
    <w:rsid w:val="00155667"/>
    <w:rsid w:val="0016304B"/>
    <w:rsid w:val="0016468A"/>
    <w:rsid w:val="00185E14"/>
    <w:rsid w:val="0018662D"/>
    <w:rsid w:val="00197427"/>
    <w:rsid w:val="001A21B4"/>
    <w:rsid w:val="001A4519"/>
    <w:rsid w:val="001A4831"/>
    <w:rsid w:val="001A4A85"/>
    <w:rsid w:val="001A5CF5"/>
    <w:rsid w:val="001B39D2"/>
    <w:rsid w:val="001B4BF8"/>
    <w:rsid w:val="001C4326"/>
    <w:rsid w:val="001C665E"/>
    <w:rsid w:val="001D3541"/>
    <w:rsid w:val="001D3D8F"/>
    <w:rsid w:val="001D3E4E"/>
    <w:rsid w:val="001E254A"/>
    <w:rsid w:val="001E3308"/>
    <w:rsid w:val="001E4BF6"/>
    <w:rsid w:val="001E7386"/>
    <w:rsid w:val="001E7E3E"/>
    <w:rsid w:val="001F3544"/>
    <w:rsid w:val="001F45A7"/>
    <w:rsid w:val="00201A01"/>
    <w:rsid w:val="0020754B"/>
    <w:rsid w:val="002104D3"/>
    <w:rsid w:val="0021328B"/>
    <w:rsid w:val="00213A33"/>
    <w:rsid w:val="0021763B"/>
    <w:rsid w:val="002335A4"/>
    <w:rsid w:val="00237131"/>
    <w:rsid w:val="00246DB1"/>
    <w:rsid w:val="002476B5"/>
    <w:rsid w:val="002520CC"/>
    <w:rsid w:val="00253ECF"/>
    <w:rsid w:val="002546A1"/>
    <w:rsid w:val="002628F4"/>
    <w:rsid w:val="00275D08"/>
    <w:rsid w:val="00275E9D"/>
    <w:rsid w:val="002858E3"/>
    <w:rsid w:val="00286A2A"/>
    <w:rsid w:val="00290175"/>
    <w:rsid w:val="0029190A"/>
    <w:rsid w:val="00292C5A"/>
    <w:rsid w:val="00295241"/>
    <w:rsid w:val="00296E06"/>
    <w:rsid w:val="002A4DFC"/>
    <w:rsid w:val="002B047D"/>
    <w:rsid w:val="002B732B"/>
    <w:rsid w:val="002B76A7"/>
    <w:rsid w:val="002C2219"/>
    <w:rsid w:val="002C2552"/>
    <w:rsid w:val="002C380A"/>
    <w:rsid w:val="002D0DF2"/>
    <w:rsid w:val="002D23BD"/>
    <w:rsid w:val="002D4E90"/>
    <w:rsid w:val="002E0B47"/>
    <w:rsid w:val="002F0307"/>
    <w:rsid w:val="002F4685"/>
    <w:rsid w:val="002F7213"/>
    <w:rsid w:val="0030382F"/>
    <w:rsid w:val="0030408D"/>
    <w:rsid w:val="003060E4"/>
    <w:rsid w:val="00314467"/>
    <w:rsid w:val="003160E7"/>
    <w:rsid w:val="0031739E"/>
    <w:rsid w:val="003309CA"/>
    <w:rsid w:val="003325AB"/>
    <w:rsid w:val="003332D1"/>
    <w:rsid w:val="0033412B"/>
    <w:rsid w:val="00341161"/>
    <w:rsid w:val="00343365"/>
    <w:rsid w:val="003445F4"/>
    <w:rsid w:val="00353501"/>
    <w:rsid w:val="00353734"/>
    <w:rsid w:val="003553C9"/>
    <w:rsid w:val="003606F8"/>
    <w:rsid w:val="003648EF"/>
    <w:rsid w:val="00364E0A"/>
    <w:rsid w:val="003673E6"/>
    <w:rsid w:val="00376FA2"/>
    <w:rsid w:val="00377264"/>
    <w:rsid w:val="003779D2"/>
    <w:rsid w:val="00385E38"/>
    <w:rsid w:val="003878E1"/>
    <w:rsid w:val="00395CB9"/>
    <w:rsid w:val="003A26A5"/>
    <w:rsid w:val="003A3761"/>
    <w:rsid w:val="003A512D"/>
    <w:rsid w:val="003A5FEA"/>
    <w:rsid w:val="003B1D10"/>
    <w:rsid w:val="003C54C7"/>
    <w:rsid w:val="003C76D4"/>
    <w:rsid w:val="003D137D"/>
    <w:rsid w:val="003D2CC5"/>
    <w:rsid w:val="003E04C1"/>
    <w:rsid w:val="003E0887"/>
    <w:rsid w:val="003E74C8"/>
    <w:rsid w:val="003E7C46"/>
    <w:rsid w:val="003F2106"/>
    <w:rsid w:val="003F2D23"/>
    <w:rsid w:val="003F4FF4"/>
    <w:rsid w:val="003F52A7"/>
    <w:rsid w:val="003F7013"/>
    <w:rsid w:val="0040240C"/>
    <w:rsid w:val="00406289"/>
    <w:rsid w:val="00407000"/>
    <w:rsid w:val="004108A2"/>
    <w:rsid w:val="00413021"/>
    <w:rsid w:val="0041567E"/>
    <w:rsid w:val="0042623D"/>
    <w:rsid w:val="004301C6"/>
    <w:rsid w:val="0043478F"/>
    <w:rsid w:val="0043602B"/>
    <w:rsid w:val="00440BE0"/>
    <w:rsid w:val="00442C1C"/>
    <w:rsid w:val="0044584B"/>
    <w:rsid w:val="00447CB7"/>
    <w:rsid w:val="00455CC9"/>
    <w:rsid w:val="00460826"/>
    <w:rsid w:val="00460EA7"/>
    <w:rsid w:val="00460EE5"/>
    <w:rsid w:val="0046195B"/>
    <w:rsid w:val="0046362D"/>
    <w:rsid w:val="00464876"/>
    <w:rsid w:val="0046596D"/>
    <w:rsid w:val="004715F9"/>
    <w:rsid w:val="00487C04"/>
    <w:rsid w:val="004907E1"/>
    <w:rsid w:val="004A035B"/>
    <w:rsid w:val="004A2108"/>
    <w:rsid w:val="004A38D7"/>
    <w:rsid w:val="004A4C35"/>
    <w:rsid w:val="004A6FA0"/>
    <w:rsid w:val="004A778C"/>
    <w:rsid w:val="004B1165"/>
    <w:rsid w:val="004B251D"/>
    <w:rsid w:val="004B48C7"/>
    <w:rsid w:val="004B5BF1"/>
    <w:rsid w:val="004C2E6A"/>
    <w:rsid w:val="004C64B8"/>
    <w:rsid w:val="004D2A2D"/>
    <w:rsid w:val="004D479F"/>
    <w:rsid w:val="004D6689"/>
    <w:rsid w:val="004E1D1D"/>
    <w:rsid w:val="004E4F91"/>
    <w:rsid w:val="004E7AC8"/>
    <w:rsid w:val="004F0C94"/>
    <w:rsid w:val="005019AE"/>
    <w:rsid w:val="00503749"/>
    <w:rsid w:val="00504CF4"/>
    <w:rsid w:val="0050635B"/>
    <w:rsid w:val="00513A2F"/>
    <w:rsid w:val="005151C2"/>
    <w:rsid w:val="005235D7"/>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0FD6"/>
    <w:rsid w:val="00571223"/>
    <w:rsid w:val="00572F1E"/>
    <w:rsid w:val="0057466E"/>
    <w:rsid w:val="005763E0"/>
    <w:rsid w:val="00581136"/>
    <w:rsid w:val="00581EB8"/>
    <w:rsid w:val="00590FEA"/>
    <w:rsid w:val="005A1D81"/>
    <w:rsid w:val="005A27CA"/>
    <w:rsid w:val="005A43BD"/>
    <w:rsid w:val="005A529F"/>
    <w:rsid w:val="005A79E5"/>
    <w:rsid w:val="005D0115"/>
    <w:rsid w:val="005D034C"/>
    <w:rsid w:val="005E02DC"/>
    <w:rsid w:val="005E226E"/>
    <w:rsid w:val="005E2636"/>
    <w:rsid w:val="005F77FC"/>
    <w:rsid w:val="006015D7"/>
    <w:rsid w:val="00601B21"/>
    <w:rsid w:val="00601D18"/>
    <w:rsid w:val="006041F0"/>
    <w:rsid w:val="00605C6D"/>
    <w:rsid w:val="006120CA"/>
    <w:rsid w:val="00613AEA"/>
    <w:rsid w:val="00615BD3"/>
    <w:rsid w:val="00624174"/>
    <w:rsid w:val="00626CF8"/>
    <w:rsid w:val="006314AF"/>
    <w:rsid w:val="0063194E"/>
    <w:rsid w:val="00634ED8"/>
    <w:rsid w:val="00636D7D"/>
    <w:rsid w:val="00637408"/>
    <w:rsid w:val="00637847"/>
    <w:rsid w:val="00642868"/>
    <w:rsid w:val="00643711"/>
    <w:rsid w:val="00643D2E"/>
    <w:rsid w:val="00643FBC"/>
    <w:rsid w:val="00647AFE"/>
    <w:rsid w:val="006512BC"/>
    <w:rsid w:val="00651CC6"/>
    <w:rsid w:val="00653A5A"/>
    <w:rsid w:val="006554AC"/>
    <w:rsid w:val="006573CD"/>
    <w:rsid w:val="006575F4"/>
    <w:rsid w:val="006579E6"/>
    <w:rsid w:val="00660682"/>
    <w:rsid w:val="00660F74"/>
    <w:rsid w:val="00663EDC"/>
    <w:rsid w:val="00667E20"/>
    <w:rsid w:val="00671078"/>
    <w:rsid w:val="00673087"/>
    <w:rsid w:val="006733E3"/>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16A1"/>
    <w:rsid w:val="006D63E5"/>
    <w:rsid w:val="006E0AA6"/>
    <w:rsid w:val="006E1753"/>
    <w:rsid w:val="006E3911"/>
    <w:rsid w:val="006F1B67"/>
    <w:rsid w:val="006F4D9C"/>
    <w:rsid w:val="006F7690"/>
    <w:rsid w:val="0070091D"/>
    <w:rsid w:val="00702854"/>
    <w:rsid w:val="00710426"/>
    <w:rsid w:val="0071570D"/>
    <w:rsid w:val="0071741C"/>
    <w:rsid w:val="00727ABC"/>
    <w:rsid w:val="00742B90"/>
    <w:rsid w:val="0074434D"/>
    <w:rsid w:val="007570C4"/>
    <w:rsid w:val="007605B8"/>
    <w:rsid w:val="00771B1E"/>
    <w:rsid w:val="00773C95"/>
    <w:rsid w:val="0078171E"/>
    <w:rsid w:val="00781C64"/>
    <w:rsid w:val="00783C83"/>
    <w:rsid w:val="0078658E"/>
    <w:rsid w:val="007920E2"/>
    <w:rsid w:val="0079566E"/>
    <w:rsid w:val="00795A29"/>
    <w:rsid w:val="00795B34"/>
    <w:rsid w:val="007A067F"/>
    <w:rsid w:val="007A0E8A"/>
    <w:rsid w:val="007A550E"/>
    <w:rsid w:val="007B1770"/>
    <w:rsid w:val="007B3E2A"/>
    <w:rsid w:val="007B4D3E"/>
    <w:rsid w:val="007B7C70"/>
    <w:rsid w:val="007B7DEB"/>
    <w:rsid w:val="007C0449"/>
    <w:rsid w:val="007C1EC7"/>
    <w:rsid w:val="007C7BDA"/>
    <w:rsid w:val="007D0711"/>
    <w:rsid w:val="007D2151"/>
    <w:rsid w:val="007D3B90"/>
    <w:rsid w:val="007D42CC"/>
    <w:rsid w:val="007D5C54"/>
    <w:rsid w:val="007D5DE4"/>
    <w:rsid w:val="007D720A"/>
    <w:rsid w:val="007D7C3A"/>
    <w:rsid w:val="007E0777"/>
    <w:rsid w:val="007E1341"/>
    <w:rsid w:val="007E1B41"/>
    <w:rsid w:val="007E1EC4"/>
    <w:rsid w:val="007E30B9"/>
    <w:rsid w:val="007E74F1"/>
    <w:rsid w:val="007F0F0C"/>
    <w:rsid w:val="007F1288"/>
    <w:rsid w:val="00800A8A"/>
    <w:rsid w:val="0080155C"/>
    <w:rsid w:val="008052E1"/>
    <w:rsid w:val="0081548D"/>
    <w:rsid w:val="00822F2C"/>
    <w:rsid w:val="00823DEE"/>
    <w:rsid w:val="008305E8"/>
    <w:rsid w:val="00831477"/>
    <w:rsid w:val="00835FD6"/>
    <w:rsid w:val="00836165"/>
    <w:rsid w:val="00836298"/>
    <w:rsid w:val="00844AB2"/>
    <w:rsid w:val="0084640C"/>
    <w:rsid w:val="00856088"/>
    <w:rsid w:val="00860826"/>
    <w:rsid w:val="00860CE8"/>
    <w:rsid w:val="00860E21"/>
    <w:rsid w:val="00863117"/>
    <w:rsid w:val="0086388B"/>
    <w:rsid w:val="008642E5"/>
    <w:rsid w:val="00864488"/>
    <w:rsid w:val="00870A36"/>
    <w:rsid w:val="00872D93"/>
    <w:rsid w:val="00876B2C"/>
    <w:rsid w:val="00880470"/>
    <w:rsid w:val="00880D94"/>
    <w:rsid w:val="00886F64"/>
    <w:rsid w:val="00890976"/>
    <w:rsid w:val="008924DE"/>
    <w:rsid w:val="008958F0"/>
    <w:rsid w:val="008A281C"/>
    <w:rsid w:val="008A3755"/>
    <w:rsid w:val="008B19DC"/>
    <w:rsid w:val="008B264F"/>
    <w:rsid w:val="008B6F83"/>
    <w:rsid w:val="008B7FD8"/>
    <w:rsid w:val="008C1108"/>
    <w:rsid w:val="008C15CD"/>
    <w:rsid w:val="008C2973"/>
    <w:rsid w:val="008C6324"/>
    <w:rsid w:val="008C64C4"/>
    <w:rsid w:val="008D2CDD"/>
    <w:rsid w:val="008D74D5"/>
    <w:rsid w:val="008E0ED1"/>
    <w:rsid w:val="008E3A07"/>
    <w:rsid w:val="008E537B"/>
    <w:rsid w:val="008F29BE"/>
    <w:rsid w:val="008F2B72"/>
    <w:rsid w:val="008F4AE5"/>
    <w:rsid w:val="008F51EB"/>
    <w:rsid w:val="008F6DFF"/>
    <w:rsid w:val="008F797A"/>
    <w:rsid w:val="00900197"/>
    <w:rsid w:val="00902616"/>
    <w:rsid w:val="00902F55"/>
    <w:rsid w:val="0090582B"/>
    <w:rsid w:val="009060C0"/>
    <w:rsid w:val="009114A2"/>
    <w:rsid w:val="009133F5"/>
    <w:rsid w:val="0091756F"/>
    <w:rsid w:val="0091790E"/>
    <w:rsid w:val="00920A27"/>
    <w:rsid w:val="00921216"/>
    <w:rsid w:val="009216CC"/>
    <w:rsid w:val="00926083"/>
    <w:rsid w:val="00930D08"/>
    <w:rsid w:val="00931466"/>
    <w:rsid w:val="00932D69"/>
    <w:rsid w:val="00935589"/>
    <w:rsid w:val="00937251"/>
    <w:rsid w:val="00944647"/>
    <w:rsid w:val="0095565C"/>
    <w:rsid w:val="00955FB3"/>
    <w:rsid w:val="00964AB6"/>
    <w:rsid w:val="00966F9A"/>
    <w:rsid w:val="00977B8A"/>
    <w:rsid w:val="00980E99"/>
    <w:rsid w:val="00982971"/>
    <w:rsid w:val="009845AD"/>
    <w:rsid w:val="00984835"/>
    <w:rsid w:val="0098639B"/>
    <w:rsid w:val="009933EF"/>
    <w:rsid w:val="00995BA0"/>
    <w:rsid w:val="009A418B"/>
    <w:rsid w:val="009A426F"/>
    <w:rsid w:val="009A42D5"/>
    <w:rsid w:val="009A4473"/>
    <w:rsid w:val="009A5B2A"/>
    <w:rsid w:val="009A5EC0"/>
    <w:rsid w:val="009B05C9"/>
    <w:rsid w:val="009B286C"/>
    <w:rsid w:val="009C151C"/>
    <w:rsid w:val="009C440A"/>
    <w:rsid w:val="009D0966"/>
    <w:rsid w:val="009D0EE1"/>
    <w:rsid w:val="009D448E"/>
    <w:rsid w:val="009D5125"/>
    <w:rsid w:val="009D60B8"/>
    <w:rsid w:val="009D7A76"/>
    <w:rsid w:val="009D7D4B"/>
    <w:rsid w:val="009E206A"/>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16BA"/>
    <w:rsid w:val="00A4201A"/>
    <w:rsid w:val="00A45837"/>
    <w:rsid w:val="00A474DA"/>
    <w:rsid w:val="00A5465D"/>
    <w:rsid w:val="00A553CE"/>
    <w:rsid w:val="00A5677A"/>
    <w:rsid w:val="00A56DCC"/>
    <w:rsid w:val="00A625E8"/>
    <w:rsid w:val="00A63DFF"/>
    <w:rsid w:val="00A6490D"/>
    <w:rsid w:val="00A72BD0"/>
    <w:rsid w:val="00A7415D"/>
    <w:rsid w:val="00A80363"/>
    <w:rsid w:val="00A80939"/>
    <w:rsid w:val="00A82996"/>
    <w:rsid w:val="00A83E9D"/>
    <w:rsid w:val="00A87C05"/>
    <w:rsid w:val="00A9169D"/>
    <w:rsid w:val="00A932F9"/>
    <w:rsid w:val="00AA240C"/>
    <w:rsid w:val="00AA60B2"/>
    <w:rsid w:val="00AB6368"/>
    <w:rsid w:val="00AB7257"/>
    <w:rsid w:val="00AC101C"/>
    <w:rsid w:val="00AC3ACA"/>
    <w:rsid w:val="00AD4CF1"/>
    <w:rsid w:val="00AD5988"/>
    <w:rsid w:val="00AD6293"/>
    <w:rsid w:val="00AE28CA"/>
    <w:rsid w:val="00AF1BA8"/>
    <w:rsid w:val="00AF7800"/>
    <w:rsid w:val="00B00CF5"/>
    <w:rsid w:val="00B072E0"/>
    <w:rsid w:val="00B1007E"/>
    <w:rsid w:val="00B11A79"/>
    <w:rsid w:val="00B212F0"/>
    <w:rsid w:val="00B253F6"/>
    <w:rsid w:val="00B26675"/>
    <w:rsid w:val="00B26F0F"/>
    <w:rsid w:val="00B305DB"/>
    <w:rsid w:val="00B332F8"/>
    <w:rsid w:val="00B3347E"/>
    <w:rsid w:val="00B3492B"/>
    <w:rsid w:val="00B351FB"/>
    <w:rsid w:val="00B4646F"/>
    <w:rsid w:val="00B51F42"/>
    <w:rsid w:val="00B55C7D"/>
    <w:rsid w:val="00B63038"/>
    <w:rsid w:val="00B64BD8"/>
    <w:rsid w:val="00B701D1"/>
    <w:rsid w:val="00B72E41"/>
    <w:rsid w:val="00B73AF2"/>
    <w:rsid w:val="00B7551A"/>
    <w:rsid w:val="00B773F1"/>
    <w:rsid w:val="00B86AB1"/>
    <w:rsid w:val="00B97F07"/>
    <w:rsid w:val="00BA0601"/>
    <w:rsid w:val="00BA496F"/>
    <w:rsid w:val="00BA5AE4"/>
    <w:rsid w:val="00BA7EBA"/>
    <w:rsid w:val="00BB07DB"/>
    <w:rsid w:val="00BB2A06"/>
    <w:rsid w:val="00BB2CBB"/>
    <w:rsid w:val="00BB3083"/>
    <w:rsid w:val="00BB4198"/>
    <w:rsid w:val="00BC03EE"/>
    <w:rsid w:val="00BC59F1"/>
    <w:rsid w:val="00BE208D"/>
    <w:rsid w:val="00BE2FDC"/>
    <w:rsid w:val="00BE51E3"/>
    <w:rsid w:val="00BF3DE1"/>
    <w:rsid w:val="00BF4843"/>
    <w:rsid w:val="00BF5205"/>
    <w:rsid w:val="00C05132"/>
    <w:rsid w:val="00C05BD3"/>
    <w:rsid w:val="00C12508"/>
    <w:rsid w:val="00C23728"/>
    <w:rsid w:val="00C3026C"/>
    <w:rsid w:val="00C313A9"/>
    <w:rsid w:val="00C37922"/>
    <w:rsid w:val="00C441CF"/>
    <w:rsid w:val="00C45AA2"/>
    <w:rsid w:val="00C4608F"/>
    <w:rsid w:val="00C4792C"/>
    <w:rsid w:val="00C55BEF"/>
    <w:rsid w:val="00C601AF"/>
    <w:rsid w:val="00C61A63"/>
    <w:rsid w:val="00C62924"/>
    <w:rsid w:val="00C66296"/>
    <w:rsid w:val="00C7394D"/>
    <w:rsid w:val="00C77282"/>
    <w:rsid w:val="00C84DE5"/>
    <w:rsid w:val="00C86248"/>
    <w:rsid w:val="00C90B31"/>
    <w:rsid w:val="00C941FA"/>
    <w:rsid w:val="00C954B2"/>
    <w:rsid w:val="00CA0D6F"/>
    <w:rsid w:val="00CA0D73"/>
    <w:rsid w:val="00CA4C33"/>
    <w:rsid w:val="00CA6F4A"/>
    <w:rsid w:val="00CB3E5F"/>
    <w:rsid w:val="00CB42A7"/>
    <w:rsid w:val="00CB6427"/>
    <w:rsid w:val="00CC0FBE"/>
    <w:rsid w:val="00CC1885"/>
    <w:rsid w:val="00CC1A80"/>
    <w:rsid w:val="00CC5B79"/>
    <w:rsid w:val="00CC7F46"/>
    <w:rsid w:val="00CD2119"/>
    <w:rsid w:val="00CD237A"/>
    <w:rsid w:val="00CD36AC"/>
    <w:rsid w:val="00CE13A3"/>
    <w:rsid w:val="00CE36BC"/>
    <w:rsid w:val="00CE684C"/>
    <w:rsid w:val="00CF1747"/>
    <w:rsid w:val="00CF60ED"/>
    <w:rsid w:val="00D05D74"/>
    <w:rsid w:val="00D0677B"/>
    <w:rsid w:val="00D079D8"/>
    <w:rsid w:val="00D20C59"/>
    <w:rsid w:val="00D23323"/>
    <w:rsid w:val="00D23483"/>
    <w:rsid w:val="00D2392A"/>
    <w:rsid w:val="00D25FFE"/>
    <w:rsid w:val="00D27BB3"/>
    <w:rsid w:val="00D30BBE"/>
    <w:rsid w:val="00D33CEB"/>
    <w:rsid w:val="00D37D80"/>
    <w:rsid w:val="00D4325A"/>
    <w:rsid w:val="00D4476F"/>
    <w:rsid w:val="00D50573"/>
    <w:rsid w:val="00D54D50"/>
    <w:rsid w:val="00D560B4"/>
    <w:rsid w:val="00D662F8"/>
    <w:rsid w:val="00D66797"/>
    <w:rsid w:val="00D66CC2"/>
    <w:rsid w:val="00D7074B"/>
    <w:rsid w:val="00D7087C"/>
    <w:rsid w:val="00D70C3C"/>
    <w:rsid w:val="00D71DF7"/>
    <w:rsid w:val="00D72BE5"/>
    <w:rsid w:val="00D80C3E"/>
    <w:rsid w:val="00D81462"/>
    <w:rsid w:val="00D82F26"/>
    <w:rsid w:val="00D863D0"/>
    <w:rsid w:val="00D86B00"/>
    <w:rsid w:val="00D86FB9"/>
    <w:rsid w:val="00D87C87"/>
    <w:rsid w:val="00D90BB4"/>
    <w:rsid w:val="00D90E07"/>
    <w:rsid w:val="00D932C2"/>
    <w:rsid w:val="00DB39CF"/>
    <w:rsid w:val="00DB3E27"/>
    <w:rsid w:val="00DB7256"/>
    <w:rsid w:val="00DC0401"/>
    <w:rsid w:val="00DC20BD"/>
    <w:rsid w:val="00DD0BCD"/>
    <w:rsid w:val="00DD447A"/>
    <w:rsid w:val="00DE1131"/>
    <w:rsid w:val="00DE3B20"/>
    <w:rsid w:val="00DE478A"/>
    <w:rsid w:val="00DE6C94"/>
    <w:rsid w:val="00DE6FD7"/>
    <w:rsid w:val="00DF0773"/>
    <w:rsid w:val="00E23271"/>
    <w:rsid w:val="00E237FF"/>
    <w:rsid w:val="00E24F80"/>
    <w:rsid w:val="00E259F3"/>
    <w:rsid w:val="00E30985"/>
    <w:rsid w:val="00E33238"/>
    <w:rsid w:val="00E332D6"/>
    <w:rsid w:val="00E376B7"/>
    <w:rsid w:val="00E42F5D"/>
    <w:rsid w:val="00E4486C"/>
    <w:rsid w:val="00E460B6"/>
    <w:rsid w:val="00E478F5"/>
    <w:rsid w:val="00E511D5"/>
    <w:rsid w:val="00E53A9F"/>
    <w:rsid w:val="00E60249"/>
    <w:rsid w:val="00E65269"/>
    <w:rsid w:val="00E76D66"/>
    <w:rsid w:val="00E808C2"/>
    <w:rsid w:val="00E81611"/>
    <w:rsid w:val="00EA796A"/>
    <w:rsid w:val="00EB1856"/>
    <w:rsid w:val="00EB4D1D"/>
    <w:rsid w:val="00EC3BC0"/>
    <w:rsid w:val="00EC50CE"/>
    <w:rsid w:val="00EC5B34"/>
    <w:rsid w:val="00EC736B"/>
    <w:rsid w:val="00ED021E"/>
    <w:rsid w:val="00ED2C86"/>
    <w:rsid w:val="00ED323C"/>
    <w:rsid w:val="00EE2D5C"/>
    <w:rsid w:val="00EE4ADE"/>
    <w:rsid w:val="00EE4DE8"/>
    <w:rsid w:val="00EE5B0C"/>
    <w:rsid w:val="00EE5CB7"/>
    <w:rsid w:val="00F024FE"/>
    <w:rsid w:val="00F05AD4"/>
    <w:rsid w:val="00F068C6"/>
    <w:rsid w:val="00F10AF5"/>
    <w:rsid w:val="00F10EB6"/>
    <w:rsid w:val="00F13F07"/>
    <w:rsid w:val="00F140B2"/>
    <w:rsid w:val="00F2514A"/>
    <w:rsid w:val="00F25970"/>
    <w:rsid w:val="00F311A9"/>
    <w:rsid w:val="00F3141D"/>
    <w:rsid w:val="00F31478"/>
    <w:rsid w:val="00F5180D"/>
    <w:rsid w:val="00F52A61"/>
    <w:rsid w:val="00F545A0"/>
    <w:rsid w:val="00F63614"/>
    <w:rsid w:val="00F63781"/>
    <w:rsid w:val="00F67496"/>
    <w:rsid w:val="00F801BA"/>
    <w:rsid w:val="00F8499E"/>
    <w:rsid w:val="00F9366A"/>
    <w:rsid w:val="00F946C9"/>
    <w:rsid w:val="00F94B97"/>
    <w:rsid w:val="00FA0EA5"/>
    <w:rsid w:val="00FA22B5"/>
    <w:rsid w:val="00FA74EE"/>
    <w:rsid w:val="00FB1E89"/>
    <w:rsid w:val="00FB3A84"/>
    <w:rsid w:val="00FB621F"/>
    <w:rsid w:val="00FC3711"/>
    <w:rsid w:val="00FC46E7"/>
    <w:rsid w:val="00FC5D25"/>
    <w:rsid w:val="00FD0D7E"/>
    <w:rsid w:val="00FD2F41"/>
    <w:rsid w:val="00FD4FFB"/>
    <w:rsid w:val="00FD75E2"/>
    <w:rsid w:val="00FE032B"/>
    <w:rsid w:val="00FE2BAD"/>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3D55AAF0-0BFD-4306-A524-22A48AF2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9D7A76"/>
    <w:pPr>
      <w:tabs>
        <w:tab w:val="right" w:pos="8080"/>
      </w:tabs>
      <w:spacing w:before="28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EndnoteText">
    <w:name w:val="endnote text"/>
    <w:basedOn w:val="Normal"/>
    <w:link w:val="EndnoteTextChar"/>
    <w:uiPriority w:val="99"/>
    <w:semiHidden/>
    <w:unhideWhenUsed/>
    <w:rsid w:val="00025EAD"/>
    <w:rPr>
      <w:sz w:val="20"/>
    </w:rPr>
  </w:style>
  <w:style w:type="character" w:customStyle="1" w:styleId="EndnoteTextChar">
    <w:name w:val="Endnote Text Char"/>
    <w:basedOn w:val="DefaultParagraphFont"/>
    <w:link w:val="EndnoteText"/>
    <w:uiPriority w:val="99"/>
    <w:semiHidden/>
    <w:rsid w:val="00025EAD"/>
    <w:rPr>
      <w:rFonts w:ascii="Segoe UI" w:hAnsi="Segoe UI"/>
      <w:lang w:eastAsia="en-GB"/>
    </w:rPr>
  </w:style>
  <w:style w:type="character" w:styleId="EndnoteReference">
    <w:name w:val="endnote reference"/>
    <w:basedOn w:val="DefaultParagraphFont"/>
    <w:uiPriority w:val="99"/>
    <w:semiHidden/>
    <w:unhideWhenUsed/>
    <w:rsid w:val="00025EAD"/>
    <w:rPr>
      <w:vertAlign w:val="superscript"/>
    </w:rPr>
  </w:style>
  <w:style w:type="table" w:customStyle="1" w:styleId="TableGrid1">
    <w:name w:val="Table Grid1"/>
    <w:basedOn w:val="TableNormal"/>
    <w:next w:val="TableGrid"/>
    <w:uiPriority w:val="39"/>
    <w:rsid w:val="001A483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A4831"/>
    <w:pPr>
      <w:spacing w:after="200"/>
    </w:pPr>
    <w:rPr>
      <w:i/>
      <w:iCs/>
      <w:color w:val="1F497D" w:themeColor="text2"/>
      <w:sz w:val="18"/>
      <w:szCs w:val="18"/>
    </w:rPr>
  </w:style>
  <w:style w:type="table" w:customStyle="1" w:styleId="TableGrid2">
    <w:name w:val="Table Grid2"/>
    <w:basedOn w:val="TableNormal"/>
    <w:next w:val="TableGrid"/>
    <w:uiPriority w:val="39"/>
    <w:rsid w:val="001A483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A4831"/>
    <w:rPr>
      <w:color w:val="605E5C"/>
      <w:shd w:val="clear" w:color="auto" w:fill="E1DFDD"/>
    </w:rPr>
  </w:style>
  <w:style w:type="paragraph" w:styleId="ListNumber">
    <w:name w:val="List Number"/>
    <w:basedOn w:val="Normal"/>
    <w:uiPriority w:val="99"/>
    <w:unhideWhenUsed/>
    <w:rsid w:val="001E7E3E"/>
    <w:pPr>
      <w:numPr>
        <w:numId w:val="6"/>
      </w:numPr>
      <w:contextualSpacing/>
    </w:pPr>
    <w:rPr>
      <w:rFonts w:eastAsia="Symbol" w:cs="Symbol"/>
    </w:rPr>
  </w:style>
  <w:style w:type="paragraph" w:styleId="ListNumber2">
    <w:name w:val="List Number 2"/>
    <w:basedOn w:val="Normal"/>
    <w:uiPriority w:val="99"/>
    <w:unhideWhenUsed/>
    <w:rsid w:val="001E7E3E"/>
    <w:pPr>
      <w:numPr>
        <w:numId w:val="7"/>
      </w:numPr>
      <w:contextualSpacing/>
    </w:pPr>
    <w:rPr>
      <w:rFonts w:eastAsia="Symbol" w:cs="Symbol"/>
    </w:rPr>
  </w:style>
  <w:style w:type="character" w:customStyle="1" w:styleId="BulletChar">
    <w:name w:val="Bullet Char"/>
    <w:link w:val="Bullet"/>
    <w:uiPriority w:val="99"/>
    <w:locked/>
    <w:rsid w:val="001E7E3E"/>
    <w:rPr>
      <w:rFonts w:ascii="Segoe UI" w:hAnsi="Segoe UI"/>
      <w:sz w:val="21"/>
      <w:lang w:eastAsia="en-GB"/>
    </w:rPr>
  </w:style>
  <w:style w:type="paragraph" w:styleId="NormalWeb">
    <w:name w:val="Normal (Web)"/>
    <w:basedOn w:val="Normal"/>
    <w:uiPriority w:val="99"/>
    <w:unhideWhenUsed/>
    <w:rsid w:val="001E7E3E"/>
    <w:pPr>
      <w:spacing w:before="100" w:beforeAutospacing="1" w:after="100" w:afterAutospacing="1"/>
    </w:pPr>
    <w:rPr>
      <w:rFonts w:ascii="Symbol" w:eastAsia="Symbol" w:hAnsi="Symbol" w:cs="Symbol"/>
      <w:sz w:val="24"/>
      <w:szCs w:val="24"/>
      <w:lang w:eastAsia="en-NZ"/>
    </w:rPr>
  </w:style>
  <w:style w:type="paragraph" w:styleId="ListBullet">
    <w:name w:val="List Bullet"/>
    <w:basedOn w:val="Normal"/>
    <w:uiPriority w:val="99"/>
    <w:unhideWhenUsed/>
    <w:rsid w:val="001E7E3E"/>
    <w:pPr>
      <w:numPr>
        <w:numId w:val="8"/>
      </w:numPr>
      <w:contextualSpacing/>
    </w:pPr>
    <w:rPr>
      <w:rFonts w:eastAsia="Symbol" w:cs="Symbol"/>
    </w:rPr>
  </w:style>
  <w:style w:type="paragraph" w:styleId="NormalIndent">
    <w:name w:val="Normal Indent"/>
    <w:basedOn w:val="Normal"/>
    <w:uiPriority w:val="99"/>
    <w:unhideWhenUsed/>
    <w:rsid w:val="001E7E3E"/>
    <w:pPr>
      <w:ind w:left="720"/>
    </w:pPr>
    <w:rPr>
      <w:rFonts w:eastAsia="Symbol" w:cs="Symbol"/>
    </w:rPr>
  </w:style>
  <w:style w:type="character" w:customStyle="1" w:styleId="normaltextrun">
    <w:name w:val="normaltextrun"/>
    <w:basedOn w:val="DefaultParagraphFont"/>
    <w:rsid w:val="00A474DA"/>
  </w:style>
  <w:style w:type="paragraph" w:customStyle="1" w:styleId="paragraph">
    <w:name w:val="paragraph"/>
    <w:basedOn w:val="Normal"/>
    <w:rsid w:val="00A474DA"/>
    <w:pPr>
      <w:spacing w:before="100" w:beforeAutospacing="1" w:after="100" w:afterAutospacing="1"/>
    </w:pPr>
    <w:rPr>
      <w:rFonts w:ascii="Symbol" w:eastAsia="Symbol" w:hAnsi="Symbol" w:cs="Symbol"/>
      <w:sz w:val="24"/>
      <w:szCs w:val="24"/>
      <w:lang w:eastAsia="en-NZ"/>
    </w:rPr>
  </w:style>
  <w:style w:type="character" w:customStyle="1" w:styleId="eop">
    <w:name w:val="eop"/>
    <w:basedOn w:val="DefaultParagraphFont"/>
    <w:rsid w:val="0041567E"/>
  </w:style>
  <w:style w:type="character" w:customStyle="1" w:styleId="ui-provider">
    <w:name w:val="ui-provider"/>
    <w:basedOn w:val="DefaultParagraphFont"/>
    <w:rsid w:val="0041567E"/>
  </w:style>
  <w:style w:type="paragraph" w:customStyle="1" w:styleId="xmsonormal">
    <w:name w:val="x_msonormal"/>
    <w:basedOn w:val="Normal"/>
    <w:rsid w:val="0041567E"/>
    <w:rPr>
      <w:rFonts w:ascii="Calibri" w:eastAsiaTheme="minorHAnsi" w:hAnsi="Calibri" w:cs="Calibri"/>
      <w:sz w:val="22"/>
      <w:szCs w:val="22"/>
      <w:lang w:eastAsia="en-NZ"/>
    </w:rPr>
  </w:style>
  <w:style w:type="paragraph" w:customStyle="1" w:styleId="li-key-points">
    <w:name w:val="li-key-points"/>
    <w:basedOn w:val="Normal"/>
    <w:rsid w:val="00637847"/>
    <w:pPr>
      <w:spacing w:before="100" w:beforeAutospacing="1" w:after="100" w:afterAutospacing="1"/>
    </w:pPr>
    <w:rPr>
      <w:rFonts w:ascii="Symbol" w:eastAsia="Symbol" w:hAnsi="Symbol" w:cs="Symbol"/>
      <w:sz w:val="24"/>
      <w:szCs w:val="24"/>
      <w:lang w:eastAsia="en-NZ"/>
    </w:rPr>
  </w:style>
  <w:style w:type="paragraph" w:styleId="ListParagraph">
    <w:name w:val="List Paragraph"/>
    <w:basedOn w:val="Normal"/>
    <w:uiPriority w:val="34"/>
    <w:qFormat/>
    <w:rsid w:val="00637847"/>
    <w:pPr>
      <w:ind w:left="720"/>
      <w:contextualSpacing/>
    </w:pPr>
    <w:rPr>
      <w:rFonts w:eastAsia="Symbol" w:cs="Symbol"/>
    </w:rPr>
  </w:style>
  <w:style w:type="character" w:customStyle="1" w:styleId="intro">
    <w:name w:val="intro"/>
    <w:basedOn w:val="DefaultParagraphFont"/>
    <w:rsid w:val="00395CB9"/>
  </w:style>
  <w:style w:type="paragraph" w:customStyle="1" w:styleId="text">
    <w:name w:val="text"/>
    <w:basedOn w:val="Normal"/>
    <w:rsid w:val="00395CB9"/>
    <w:pPr>
      <w:spacing w:before="100" w:beforeAutospacing="1" w:after="100" w:afterAutospacing="1"/>
    </w:pPr>
    <w:rPr>
      <w:rFonts w:ascii="Symbol" w:eastAsia="Symbol" w:hAnsi="Symbol" w:cs="Symbol"/>
      <w:sz w:val="24"/>
      <w:szCs w:val="24"/>
      <w:lang w:eastAsia="en-NZ"/>
    </w:rPr>
  </w:style>
  <w:style w:type="character" w:customStyle="1" w:styleId="label">
    <w:name w:val="label"/>
    <w:basedOn w:val="DefaultParagraphFont"/>
    <w:rsid w:val="00395CB9"/>
  </w:style>
  <w:style w:type="paragraph" w:customStyle="1" w:styleId="intro-text">
    <w:name w:val="intro-text"/>
    <w:basedOn w:val="Normal"/>
    <w:rsid w:val="00395CB9"/>
    <w:pPr>
      <w:spacing w:before="100" w:beforeAutospacing="1" w:after="100" w:afterAutospacing="1"/>
    </w:pPr>
    <w:rPr>
      <w:rFonts w:ascii="Symbol" w:eastAsia="Symbol" w:hAnsi="Symbol" w:cs="Symbol"/>
      <w:sz w:val="24"/>
      <w:szCs w:val="24"/>
      <w:lang w:eastAsia="en-NZ"/>
    </w:rPr>
  </w:style>
  <w:style w:type="character" w:styleId="CommentReference">
    <w:name w:val="annotation reference"/>
    <w:basedOn w:val="DefaultParagraphFont"/>
    <w:uiPriority w:val="99"/>
    <w:semiHidden/>
    <w:unhideWhenUsed/>
    <w:rsid w:val="00395CB9"/>
    <w:rPr>
      <w:sz w:val="16"/>
      <w:szCs w:val="16"/>
    </w:rPr>
  </w:style>
  <w:style w:type="paragraph" w:styleId="CommentText">
    <w:name w:val="annotation text"/>
    <w:basedOn w:val="Normal"/>
    <w:link w:val="CommentTextChar"/>
    <w:uiPriority w:val="99"/>
    <w:unhideWhenUsed/>
    <w:rsid w:val="00395CB9"/>
    <w:rPr>
      <w:rFonts w:eastAsia="Symbol" w:cs="Symbol"/>
      <w:sz w:val="20"/>
    </w:rPr>
  </w:style>
  <w:style w:type="character" w:customStyle="1" w:styleId="CommentTextChar">
    <w:name w:val="Comment Text Char"/>
    <w:basedOn w:val="DefaultParagraphFont"/>
    <w:link w:val="CommentText"/>
    <w:uiPriority w:val="99"/>
    <w:rsid w:val="00395CB9"/>
    <w:rPr>
      <w:rFonts w:ascii="Segoe UI" w:eastAsia="Symbol" w:hAnsi="Segoe UI" w:cs="Symbol"/>
      <w:lang w:eastAsia="en-GB"/>
    </w:rPr>
  </w:style>
  <w:style w:type="paragraph" w:styleId="CommentSubject">
    <w:name w:val="annotation subject"/>
    <w:basedOn w:val="CommentText"/>
    <w:next w:val="CommentText"/>
    <w:link w:val="CommentSubjectChar"/>
    <w:uiPriority w:val="99"/>
    <w:semiHidden/>
    <w:unhideWhenUsed/>
    <w:rsid w:val="00395CB9"/>
    <w:rPr>
      <w:b/>
      <w:bCs/>
    </w:rPr>
  </w:style>
  <w:style w:type="character" w:customStyle="1" w:styleId="CommentSubjectChar">
    <w:name w:val="Comment Subject Char"/>
    <w:basedOn w:val="CommentTextChar"/>
    <w:link w:val="CommentSubject"/>
    <w:uiPriority w:val="99"/>
    <w:semiHidden/>
    <w:rsid w:val="00395CB9"/>
    <w:rPr>
      <w:rFonts w:ascii="Segoe UI" w:eastAsia="Symbol" w:hAnsi="Segoe UI" w:cs="Symbol"/>
      <w:b/>
      <w:bCs/>
      <w:lang w:eastAsia="en-GB"/>
    </w:rPr>
  </w:style>
  <w:style w:type="paragraph" w:customStyle="1" w:styleId="rteindent1">
    <w:name w:val="rteindent1"/>
    <w:basedOn w:val="Normal"/>
    <w:rsid w:val="00395CB9"/>
    <w:pPr>
      <w:spacing w:before="100" w:beforeAutospacing="1" w:after="100" w:afterAutospacing="1"/>
    </w:pPr>
    <w:rPr>
      <w:rFonts w:ascii="Symbol" w:eastAsia="Symbol" w:hAnsi="Symbol" w:cs="Symbol"/>
      <w:sz w:val="24"/>
      <w:szCs w:val="24"/>
      <w:lang w:eastAsia="en-NZ"/>
    </w:rPr>
  </w:style>
  <w:style w:type="character" w:customStyle="1" w:styleId="TableChar">
    <w:name w:val="Table Char"/>
    <w:link w:val="Table"/>
    <w:locked/>
    <w:rsid w:val="00395CB9"/>
    <w:rPr>
      <w:rFonts w:ascii="Segoe UI" w:hAnsi="Segoe UI"/>
      <w:b/>
      <w:lang w:eastAsia="en-GB"/>
    </w:rPr>
  </w:style>
  <w:style w:type="character" w:customStyle="1" w:styleId="advancedproofingissue">
    <w:name w:val="advancedproofingissue"/>
    <w:basedOn w:val="DefaultParagraphFont"/>
    <w:rsid w:val="00395CB9"/>
  </w:style>
  <w:style w:type="paragraph" w:customStyle="1" w:styleId="def-p-margin">
    <w:name w:val="def-p-margin"/>
    <w:basedOn w:val="Normal"/>
    <w:rsid w:val="00395CB9"/>
    <w:pPr>
      <w:spacing w:before="100" w:beforeAutospacing="1" w:after="100" w:afterAutospacing="1"/>
    </w:pPr>
    <w:rPr>
      <w:rFonts w:ascii="Symbol" w:eastAsia="Symbol" w:hAnsi="Symbol" w:cs="Symbol"/>
      <w:sz w:val="24"/>
      <w:szCs w:val="24"/>
      <w:lang w:eastAsia="en-NZ"/>
    </w:rPr>
  </w:style>
  <w:style w:type="character" w:styleId="Strong">
    <w:name w:val="Strong"/>
    <w:basedOn w:val="DefaultParagraphFont"/>
    <w:uiPriority w:val="22"/>
    <w:qFormat/>
    <w:rsid w:val="00395CB9"/>
    <w:rPr>
      <w:b/>
      <w:bCs/>
    </w:rPr>
  </w:style>
  <w:style w:type="paragraph" w:customStyle="1" w:styleId="Default">
    <w:name w:val="Default"/>
    <w:rsid w:val="00395CB9"/>
    <w:pPr>
      <w:autoSpaceDE w:val="0"/>
      <w:autoSpaceDN w:val="0"/>
      <w:adjustRightInd w:val="0"/>
    </w:pPr>
    <w:rPr>
      <w:rFonts w:ascii="Wingdings" w:eastAsiaTheme="minorHAnsi" w:hAnsi="Wingdings" w:cs="Wingdings"/>
      <w:color w:val="000000"/>
      <w:sz w:val="24"/>
      <w:szCs w:val="24"/>
      <w:lang w:eastAsia="en-US"/>
    </w:rPr>
  </w:style>
  <w:style w:type="character" w:customStyle="1" w:styleId="spellingerror">
    <w:name w:val="spellingerror"/>
    <w:basedOn w:val="DefaultParagraphFont"/>
    <w:rsid w:val="00395CB9"/>
  </w:style>
  <w:style w:type="character" w:styleId="FollowedHyperlink">
    <w:name w:val="FollowedHyperlink"/>
    <w:basedOn w:val="DefaultParagraphFont"/>
    <w:uiPriority w:val="99"/>
    <w:semiHidden/>
    <w:unhideWhenUsed/>
    <w:rsid w:val="00395CB9"/>
    <w:rPr>
      <w:color w:val="800080" w:themeColor="followedHyperlink"/>
      <w:u w:val="single"/>
    </w:rPr>
  </w:style>
  <w:style w:type="character" w:customStyle="1" w:styleId="contextualspellingandgrammarerror">
    <w:name w:val="contextualspellingandgrammarerror"/>
    <w:basedOn w:val="DefaultParagraphFont"/>
    <w:rsid w:val="00395CB9"/>
  </w:style>
  <w:style w:type="character" w:styleId="Emphasis">
    <w:name w:val="Emphasis"/>
    <w:basedOn w:val="DefaultParagraphFont"/>
    <w:uiPriority w:val="20"/>
    <w:qFormat/>
    <w:rsid w:val="00395CB9"/>
    <w:rPr>
      <w:i/>
      <w:iCs/>
    </w:rPr>
  </w:style>
  <w:style w:type="character" w:styleId="Mention">
    <w:name w:val="Mention"/>
    <w:basedOn w:val="DefaultParagraphFont"/>
    <w:uiPriority w:val="99"/>
    <w:unhideWhenUsed/>
    <w:rsid w:val="00395CB9"/>
    <w:rPr>
      <w:color w:val="2B579A"/>
      <w:shd w:val="clear" w:color="auto" w:fill="E1DFDD"/>
    </w:rPr>
  </w:style>
  <w:style w:type="character" w:customStyle="1" w:styleId="superscript">
    <w:name w:val="superscript"/>
    <w:basedOn w:val="DefaultParagraphFont"/>
    <w:rsid w:val="00395CB9"/>
  </w:style>
  <w:style w:type="paragraph" w:styleId="TOCHeading">
    <w:name w:val="TOC Heading"/>
    <w:basedOn w:val="Heading1"/>
    <w:next w:val="Normal"/>
    <w:uiPriority w:val="39"/>
    <w:unhideWhenUsed/>
    <w:qFormat/>
    <w:rsid w:val="00395CB9"/>
    <w:pPr>
      <w:keepLines/>
      <w:spacing w:before="240" w:after="0" w:line="259" w:lineRule="auto"/>
      <w:outlineLvl w:val="9"/>
    </w:pPr>
    <w:rPr>
      <w:rFonts w:asciiTheme="majorHAnsi" w:eastAsiaTheme="majorEastAsia" w:hAnsiTheme="majorHAnsi" w:cstheme="majorBidi"/>
      <w:b w:val="0"/>
      <w:color w:val="365F91" w:themeColor="accent1" w:themeShade="BF"/>
      <w:spacing w:val="0"/>
      <w:sz w:val="36"/>
      <w:szCs w:val="32"/>
      <w:lang w:val="en-US" w:eastAsia="en-US"/>
    </w:rPr>
  </w:style>
  <w:style w:type="paragraph" w:customStyle="1" w:styleId="EndNoteBibliography">
    <w:name w:val="EndNote Bibliography"/>
    <w:basedOn w:val="Normal"/>
    <w:link w:val="EndNoteBibliographyChar"/>
    <w:rsid w:val="00395CB9"/>
    <w:pPr>
      <w:spacing w:after="160"/>
    </w:pPr>
    <w:rPr>
      <w:rFonts w:eastAsiaTheme="minorHAnsi" w:cs="Segoe UI"/>
      <w:noProof/>
      <w:sz w:val="20"/>
      <w:szCs w:val="22"/>
      <w:lang w:val="en-US" w:eastAsia="en-US"/>
    </w:rPr>
  </w:style>
  <w:style w:type="character" w:customStyle="1" w:styleId="EndNoteBibliographyChar">
    <w:name w:val="EndNote Bibliography Char"/>
    <w:basedOn w:val="DefaultParagraphFont"/>
    <w:link w:val="EndNoteBibliography"/>
    <w:rsid w:val="00395CB9"/>
    <w:rPr>
      <w:rFonts w:ascii="Segoe UI" w:eastAsiaTheme="minorHAnsi" w:hAnsi="Segoe UI" w:cs="Segoe UI"/>
      <w:noProof/>
      <w:szCs w:val="22"/>
      <w:lang w:val="en-US" w:eastAsia="en-US"/>
    </w:rPr>
  </w:style>
  <w:style w:type="paragraph" w:customStyle="1" w:styleId="EndNoteBibliographyTitle">
    <w:name w:val="EndNote Bibliography Title"/>
    <w:basedOn w:val="Normal"/>
    <w:link w:val="EndNoteBibliographyTitleChar"/>
    <w:rsid w:val="00395CB9"/>
    <w:pPr>
      <w:jc w:val="center"/>
    </w:pPr>
    <w:rPr>
      <w:rFonts w:eastAsia="Symbol" w:cs="Segoe UI"/>
      <w:noProof/>
      <w:sz w:val="20"/>
      <w:lang w:val="en-GB"/>
    </w:rPr>
  </w:style>
  <w:style w:type="character" w:customStyle="1" w:styleId="EndNoteBibliographyTitleChar">
    <w:name w:val="EndNote Bibliography Title Char"/>
    <w:basedOn w:val="DefaultParagraphFont"/>
    <w:link w:val="EndNoteBibliographyTitle"/>
    <w:rsid w:val="00395CB9"/>
    <w:rPr>
      <w:rFonts w:ascii="Segoe UI" w:eastAsia="Symbol" w:hAnsi="Segoe UI" w:cs="Segoe UI"/>
      <w:noProof/>
      <w:lang w:val="en-GB" w:eastAsia="en-GB"/>
    </w:rPr>
  </w:style>
  <w:style w:type="paragraph" w:customStyle="1" w:styleId="overview-text">
    <w:name w:val="overview-text"/>
    <w:basedOn w:val="Normal"/>
    <w:rsid w:val="00395CB9"/>
    <w:pPr>
      <w:spacing w:before="100" w:beforeAutospacing="1" w:after="100" w:afterAutospacing="1"/>
    </w:pPr>
    <w:rPr>
      <w:rFonts w:ascii="Symbol" w:eastAsia="Symbol" w:hAnsi="Symbol" w:cs="Symbol"/>
      <w:sz w:val="24"/>
      <w:szCs w:val="24"/>
      <w:lang w:eastAsia="en-NZ"/>
    </w:rPr>
  </w:style>
  <w:style w:type="paragraph" w:customStyle="1" w:styleId="TableParagraph">
    <w:name w:val="Table Paragraph"/>
    <w:basedOn w:val="Normal"/>
    <w:uiPriority w:val="1"/>
    <w:qFormat/>
    <w:rsid w:val="00395CB9"/>
    <w:pPr>
      <w:widowControl w:val="0"/>
      <w:autoSpaceDE w:val="0"/>
      <w:autoSpaceDN w:val="0"/>
    </w:pPr>
    <w:rPr>
      <w:rFonts w:ascii="Arial" w:eastAsia="Arial" w:hAnsi="Arial" w:cs="Arial"/>
      <w:sz w:val="22"/>
      <w:szCs w:val="22"/>
      <w:lang w:val="en-US" w:eastAsia="en-US"/>
    </w:rPr>
  </w:style>
  <w:style w:type="character" w:customStyle="1" w:styleId="findhit">
    <w:name w:val="findhit"/>
    <w:basedOn w:val="DefaultParagraphFont"/>
    <w:rsid w:val="00395CB9"/>
  </w:style>
  <w:style w:type="paragraph" w:styleId="ListBullet2">
    <w:name w:val="List Bullet 2"/>
    <w:basedOn w:val="Normal"/>
    <w:uiPriority w:val="99"/>
    <w:unhideWhenUsed/>
    <w:rsid w:val="00395CB9"/>
    <w:pPr>
      <w:numPr>
        <w:numId w:val="14"/>
      </w:numPr>
      <w:contextualSpacing/>
    </w:pPr>
    <w:rPr>
      <w:rFonts w:eastAsia="Symbol" w:cs="Symbol"/>
    </w:rPr>
  </w:style>
  <w:style w:type="paragraph" w:styleId="TableofFigures">
    <w:name w:val="table of figures"/>
    <w:basedOn w:val="Normal"/>
    <w:next w:val="Normal"/>
    <w:uiPriority w:val="99"/>
    <w:unhideWhenUsed/>
    <w:rsid w:val="00395CB9"/>
    <w:rPr>
      <w:rFonts w:eastAsia="Symbol" w:cs="Symbol"/>
    </w:rPr>
  </w:style>
  <w:style w:type="numbering" w:customStyle="1" w:styleId="NoList1">
    <w:name w:val="No List1"/>
    <w:next w:val="NoList"/>
    <w:uiPriority w:val="99"/>
    <w:semiHidden/>
    <w:unhideWhenUsed/>
    <w:rsid w:val="00041EF7"/>
  </w:style>
  <w:style w:type="table" w:customStyle="1" w:styleId="TableGrid3">
    <w:name w:val="Table Grid3"/>
    <w:basedOn w:val="TableNormal"/>
    <w:next w:val="TableGrid"/>
    <w:uiPriority w:val="39"/>
    <w:rsid w:val="00041E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A1D81"/>
    <w:pPr>
      <w:spacing w:after="100"/>
      <w:ind w:left="630"/>
    </w:pPr>
  </w:style>
  <w:style w:type="paragraph" w:styleId="TOC5">
    <w:name w:val="toc 5"/>
    <w:basedOn w:val="Normal"/>
    <w:next w:val="Normal"/>
    <w:autoRedefine/>
    <w:uiPriority w:val="39"/>
    <w:unhideWhenUsed/>
    <w:rsid w:val="005A1D81"/>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footer" Target="footer5.xml"/><Relationship Id="rId42" Type="http://schemas.openxmlformats.org/officeDocument/2006/relationships/image" Target="media/image12.png"/><Relationship Id="rId63" Type="http://schemas.openxmlformats.org/officeDocument/2006/relationships/hyperlink" Target="https://www.health.govt.nz/nz-health-statistics/health-statistics-and-data-sets/oral-health-data-and-stats/age-5-and-year-8-oral-health-data-community-oral-health-service" TargetMode="External"/><Relationship Id="rId84" Type="http://schemas.openxmlformats.org/officeDocument/2006/relationships/image" Target="media/image29.png"/><Relationship Id="rId138" Type="http://schemas.openxmlformats.org/officeDocument/2006/relationships/image" Target="media/image56.png"/><Relationship Id="rId159" Type="http://schemas.openxmlformats.org/officeDocument/2006/relationships/hyperlink" Target="https://mohgovtnz.sharepoint.com/sites/moh-ecm-FunAnaandIns/Shared%20Documents/Health%20and%20Independence%20Report/Health%20and%20Independence%20Report%202022/Report/www.health.govt.nz/publication/longer-healthier-lives-new-zealands-health-1990-2017" TargetMode="External"/><Relationship Id="rId170" Type="http://schemas.openxmlformats.org/officeDocument/2006/relationships/hyperlink" Target="https://mohgovtnz.sharepoint.com/sites/moh-ecm-FunAnaandIns/Shared%20Documents/Health%20and%20Independence%20Report/Health%20and%20Independence%20Report%202022/Report/www.health.govt.nz/system/files/documents/publications/further-information-about-the-hsu-dataset-and-review-4aug22.pdf" TargetMode="External"/><Relationship Id="rId191" Type="http://schemas.openxmlformats.org/officeDocument/2006/relationships/hyperlink" Target="https://nsfl.health.govt.nz/accountability/performance-and-monitoring/data-quarterly-reports-and-reporting/inpatient-average" TargetMode="External"/><Relationship Id="rId205" Type="http://schemas.openxmlformats.org/officeDocument/2006/relationships/hyperlink" Target="https://mohgovtnz.sharepoint.com/sites/moh-ecm-FunAnaandIns/Shared%20Documents/Health%20and%20Independence%20Report/Health%20and%20Independence%20Report%202022/Report/www.stats.govt.nz/information-releases/national-ethnic-population-projections-2018base-2043" TargetMode="External"/><Relationship Id="rId226" Type="http://schemas.openxmlformats.org/officeDocument/2006/relationships/hyperlink" Target="https://mohgovtnz.sharepoint.com/sites/moh-ecm-FunAnaandIns/Shared%20Documents/Health%20and%20Independence%20Report/Health%20and%20Independence%20Report%202022/Report/www.hqsc.govt.nz/assets/Our-work/Mortality-review-committee/PMMRC/Publications-resources/15thPMMRC-report-final.pdf" TargetMode="External"/><Relationship Id="rId247" Type="http://schemas.openxmlformats.org/officeDocument/2006/relationships/hyperlink" Target="https://mohgovtnz.sharepoint.com/sites/moh-ecm-FunAnaandIns/Shared%20Documents/Health%20and%20Independence%20Report/Health%20and%20Independence%20Report%202022/Report/www.uofmhealth.org/conditions-treatments/brain-neurological-conditions/cerebrovascular" TargetMode="External"/><Relationship Id="rId107" Type="http://schemas.openxmlformats.org/officeDocument/2006/relationships/image" Target="media/image40.png"/><Relationship Id="rId11" Type="http://schemas.openxmlformats.org/officeDocument/2006/relationships/endnotes" Target="endnotes.xml"/><Relationship Id="rId32" Type="http://schemas.openxmlformats.org/officeDocument/2006/relationships/image" Target="media/image5.png"/><Relationship Id="rId53" Type="http://schemas.openxmlformats.org/officeDocument/2006/relationships/image" Target="media/image15.png"/><Relationship Id="rId74" Type="http://schemas.openxmlformats.org/officeDocument/2006/relationships/image" Target="media/image25.png"/><Relationship Id="rId128" Type="http://schemas.openxmlformats.org/officeDocument/2006/relationships/hyperlink" Target="https://tewhatuora.shinyapps.io/covid19/" TargetMode="External"/><Relationship Id="rId149" Type="http://schemas.openxmlformats.org/officeDocument/2006/relationships/hyperlink" Target="https://mohgovtnz.sharepoint.com/sites/moh-ecm-FunAnaandIns/Shared%20Documents/Health%20and%20Independence%20Report/Health%20and%20Independence%20Report%202022/Report/www.healthdata.org/new-zealand" TargetMode="External"/><Relationship Id="rId5" Type="http://schemas.openxmlformats.org/officeDocument/2006/relationships/customXml" Target="../customXml/item5.xml"/><Relationship Id="rId95" Type="http://schemas.openxmlformats.org/officeDocument/2006/relationships/image" Target="media/image34.png"/><Relationship Id="rId160" Type="http://schemas.openxmlformats.org/officeDocument/2006/relationships/hyperlink" Target="https://mohgovtnz.sharepoint.com/sites/moh-ecm-FunAnaandIns/Shared%20Documents/Health%20and%20Independence%20Report/Health%20and%20Independence%20Report%202022/Report/www.health.govt.nz/our-work/populations/maori-health/whakamaua-maori-health-action-plan-2020-2025" TargetMode="External"/><Relationship Id="rId181" Type="http://schemas.openxmlformats.org/officeDocument/2006/relationships/hyperlink" Target="https://mohgovtnz.sharepoint.com/sites/moh-ecm-FunAnaandIns/Shared%20Documents/Health%20and%20Independence%20Report/Health%20and%20Independence%20Report%202022/Report/www.health.govt.nz/covid-19-novel-coronavirus/covid-19-vaccines" TargetMode="External"/><Relationship Id="rId216" Type="http://schemas.openxmlformats.org/officeDocument/2006/relationships/hyperlink" Target="https://mohgovtnz.sharepoint.com/sites/moh-ecm-FunAnaandIns/Shared%20Documents/Health%20and%20Independence%20Report/Health%20and%20Independence%20Report%202022/Report/www.stats.govt.nz/news/deaths-increase-by-ten-percent-in-2022" TargetMode="External"/><Relationship Id="rId237" Type="http://schemas.openxmlformats.org/officeDocument/2006/relationships/hyperlink" Target="https://tewhatuora.shinyapps.io/mortality-web-tool/" TargetMode="External"/><Relationship Id="rId22" Type="http://schemas.openxmlformats.org/officeDocument/2006/relationships/header" Target="header4.xml"/><Relationship Id="rId43" Type="http://schemas.openxmlformats.org/officeDocument/2006/relationships/hyperlink" Target="http://www.stats.govt.nz/information-releases/national-and-subnational-period-life-tables-2017-2019" TargetMode="External"/><Relationship Id="rId64" Type="http://schemas.openxmlformats.org/officeDocument/2006/relationships/image" Target="media/image21.png"/><Relationship Id="rId118" Type="http://schemas.openxmlformats.org/officeDocument/2006/relationships/hyperlink" Target="https://tewhatuora.shinyapps.io/covid19/" TargetMode="External"/><Relationship Id="rId139" Type="http://schemas.openxmlformats.org/officeDocument/2006/relationships/image" Target="media/image57.png"/><Relationship Id="rId85" Type="http://schemas.openxmlformats.org/officeDocument/2006/relationships/hyperlink" Target="https://minhealthnz.shinyapps.io/nz-health-survey-2021-22-annual-data-explorer/_w_6c1c393e/" TargetMode="External"/><Relationship Id="rId150" Type="http://schemas.openxmlformats.org/officeDocument/2006/relationships/hyperlink" Target="https://vizhub.healthdata.org/gbd-results/" TargetMode="External"/><Relationship Id="rId171" Type="http://schemas.openxmlformats.org/officeDocument/2006/relationships/hyperlink" Target="https://mohgovtnz.sharepoint.com/sites/moh-ecm-FunAnaandIns/Shared%20Documents/Health%20and%20Independence%20Report/Health%20and%20Independence%20Report%202022/Report/www.health.govt.nz/new-zealand-health-system/setting-direction-our-new-health-system/health-strategies-all-new-zealanders" TargetMode="External"/><Relationship Id="rId192" Type="http://schemas.openxmlformats.org/officeDocument/2006/relationships/hyperlink" Target="https://nsfl.health.govt.nz/accountability/performance-and-monitoring/data-quarterly-reports-and-reporting/ambulatory-sensitive" TargetMode="External"/><Relationship Id="rId206" Type="http://schemas.openxmlformats.org/officeDocument/2006/relationships/hyperlink" Target="https://mohgovtnz.sharepoint.com/sites/moh-ecm-FunAnaandIns/Shared%20Documents/Health%20and%20Independence%20Report/Health%20and%20Independence%20Report%202022/Report/www.stats.govt.nz/reports/wellbeing-statistics-a-year-in-review-june-2020-to-march-2021-quarter" TargetMode="External"/><Relationship Id="rId227" Type="http://schemas.openxmlformats.org/officeDocument/2006/relationships/hyperlink" Target="https://mohgovtnz.sharepoint.com/sites/moh-ecm-FunAnaandIns/Shared%20Documents/Health%20and%20Independence%20Report/Health%20and%20Independence%20Report%202022/Report/www.hqsc.govt.nz/our-work/mortality-review-committees/perinatal-and-maternal-mortality-review-committee/information-about-deaths-of-babies-and-mothers-in-aotearoa-new-zealand" TargetMode="External"/><Relationship Id="rId248" Type="http://schemas.openxmlformats.org/officeDocument/2006/relationships/hyperlink" Target="https://mohgovtnz.sharepoint.com/sites/moh-ecm-FunAnaandIns/Shared%20Documents/Health%20and%20Independence%20Report/Health%20and%20Independence%20Report%202022/Report/www.otago.ac.nz/wellington/otago023745.pdf" TargetMode="External"/><Relationship Id="rId12" Type="http://schemas.openxmlformats.org/officeDocument/2006/relationships/header" Target="header1.xml"/><Relationship Id="rId33" Type="http://schemas.openxmlformats.org/officeDocument/2006/relationships/hyperlink" Target="https://infoshare.stats.govt.nz/ViewTable.aspx?pxID=9b05b41d-e720-49fd-b1ae-9b3056e8a74a" TargetMode="External"/><Relationship Id="rId108" Type="http://schemas.openxmlformats.org/officeDocument/2006/relationships/hyperlink" Target="https://nsfl.health.govt.nz/accountability/performance-and-monitoring/data-quarterly-reports-and-reporting/ambulatory-sensitive" TargetMode="External"/><Relationship Id="rId129" Type="http://schemas.openxmlformats.org/officeDocument/2006/relationships/image" Target="media/image50.png"/><Relationship Id="rId54" Type="http://schemas.openxmlformats.org/officeDocument/2006/relationships/hyperlink" Target="https://vizhub.healthdata.org/gbd-results/" TargetMode="External"/><Relationship Id="rId70" Type="http://schemas.openxmlformats.org/officeDocument/2006/relationships/image" Target="media/image23.png"/><Relationship Id="rId75" Type="http://schemas.openxmlformats.org/officeDocument/2006/relationships/hyperlink" Target="https://minhealthnz.shinyapps.io/nz-health-survey-2021-22-annual-data-explorer/_w_6c1c393e/" TargetMode="External"/><Relationship Id="rId91" Type="http://schemas.openxmlformats.org/officeDocument/2006/relationships/hyperlink" Target="https://minhealthnz.shinyapps.io/nz-health-survey-2021-22-annual-data-explorer/_w_6c1c393e/" TargetMode="External"/><Relationship Id="rId96" Type="http://schemas.openxmlformats.org/officeDocument/2006/relationships/hyperlink" Target="https://www.health.govt.nz/our-work/preventative-health-wellness/immunisation/immunisation-coverage/national-and-regional-immunisation-data" TargetMode="External"/><Relationship Id="rId140" Type="http://schemas.openxmlformats.org/officeDocument/2006/relationships/hyperlink" Target="https://minhealthnz.shinyapps.io/nz-health-survey-2021-22-annual-data-explorer/_w_ac635275/" TargetMode="External"/><Relationship Id="rId145" Type="http://schemas.openxmlformats.org/officeDocument/2006/relationships/hyperlink" Target="https://coronialservices.justice.govt.nz/assets/Media-release-Deputy-Chief-Coroner-251022.pdf" TargetMode="External"/><Relationship Id="rId161" Type="http://schemas.openxmlformats.org/officeDocument/2006/relationships/hyperlink" Target="https://mohgovtnz.sharepoint.com/sites/moh-ecm-FunAnaandIns/Shared%20Documents/Health%20and%20Independence%20Report/Health%20and%20Independence%20Report%202022/Report/www.health.govt.nz/publication/kia-manawanui-aotearoa-long-term-pathway-mental-wellbeing" TargetMode="External"/><Relationship Id="rId166" Type="http://schemas.openxmlformats.org/officeDocument/2006/relationships/hyperlink" Target="https://mohgovtnz.sharepoint.com/sites/moh-ecm-FunAnaandIns/Shared%20Documents/Health%20and%20Independence%20Report/Health%20and%20Independence%20Report%202022/Report/www.health.govt.nz/publication/covid-19-mortality-aotearoa-new-zealand-inequities-risk" TargetMode="External"/><Relationship Id="rId182" Type="http://schemas.openxmlformats.org/officeDocument/2006/relationships/hyperlink" Target="https://mohgovtnz.sharepoint.com/sites/moh-ecm-FunAnaandIns/Shared%20Documents/Health%20and%20Independence%20Report/Health%20and%20Independence%20Report%202022/Report/www.health.govt.nz/our-work/preventative-health-wellness/immunisation/hpv-immunisation-programme" TargetMode="External"/><Relationship Id="rId187" Type="http://schemas.openxmlformats.org/officeDocument/2006/relationships/hyperlink" Target="https://mohgovtnz.sharepoint.com/sites/moh-ecm-FunAnaandIns/Shared%20Documents/Health%20and%20Independence%20Report/Health%20and%20Independence%20Report%202022/Report/www.health.govt.nz/our-work/diseases-and-conditions/obesity" TargetMode="External"/><Relationship Id="rId217" Type="http://schemas.openxmlformats.org/officeDocument/2006/relationships/hyperlink" Target="https://mohgovtnz.sharepoint.com/sites/moh-ecm-FunAnaandIns/Shared%20Documents/Health%20and%20Independence%20Report/Health%20and%20Independence%20Report%202022/Report/www.stats.govt.nz/reports/household-disability-survey-2023-final-content"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mohgovtnz.sharepoint.com/sites/moh-ecm-FunAnaandIns/Shared%20Documents/Health%20and%20Independence%20Report/Health%20and%20Independence%20Report%202022/Report/www.stats.govt.nz/reports/review-of-health-service-user-population-methodology" TargetMode="External"/><Relationship Id="rId233" Type="http://schemas.openxmlformats.org/officeDocument/2006/relationships/hyperlink" Target="https://tewhatuora.shinyapps.io/cancer-web-tool/" TargetMode="External"/><Relationship Id="rId238" Type="http://schemas.openxmlformats.org/officeDocument/2006/relationships/hyperlink" Target="https://tewhatuora.shinyapps.io/nsu-ncsp-coverage/" TargetMode="External"/><Relationship Id="rId254" Type="http://schemas.openxmlformats.org/officeDocument/2006/relationships/hyperlink" Target="https://mohgovtnz.sharepoint.com/sites/moh-ecm-FunAnaandIns/Shared%20Documents/Health%20and%20Independence%20Report/Health%20and%20Independence%20Report%202022/Report/www.who.int/news-room/fact-sheets/detail/noncommunicable-diseases" TargetMode="External"/><Relationship Id="rId23" Type="http://schemas.openxmlformats.org/officeDocument/2006/relationships/header" Target="header5.xml"/><Relationship Id="rId28" Type="http://schemas.openxmlformats.org/officeDocument/2006/relationships/footer" Target="footer9.xml"/><Relationship Id="rId49" Type="http://schemas.openxmlformats.org/officeDocument/2006/relationships/image" Target="media/image14.png"/><Relationship Id="rId114" Type="http://schemas.openxmlformats.org/officeDocument/2006/relationships/hyperlink" Target="https://covid19.govt.nz/about-our-covid-19-response/history-of-the-covid-19-protection-framework-traffic-lights/" TargetMode="External"/><Relationship Id="rId119" Type="http://schemas.openxmlformats.org/officeDocument/2006/relationships/hyperlink" Target="https://www.health.govt.nz/publication/covid-19-mortality-aotearoa-new-zealand-inequities-risk" TargetMode="External"/><Relationship Id="rId44" Type="http://schemas.openxmlformats.org/officeDocument/2006/relationships/image" Target="media/image13.png"/><Relationship Id="rId60" Type="http://schemas.openxmlformats.org/officeDocument/2006/relationships/image" Target="media/image19.png"/><Relationship Id="rId65" Type="http://schemas.openxmlformats.org/officeDocument/2006/relationships/hyperlink" Target="https://www.health.govt.nz/nz-health-statistics/health-statistics-and-data-sets/oral-health-data-and-stats/age-5-and-year-8-oral-health-data-community-oral-health-service" TargetMode="External"/><Relationship Id="rId81" Type="http://schemas.openxmlformats.org/officeDocument/2006/relationships/hyperlink" Target="https://www.health.govt.nz/publication/smokefree-aotearoa-2025-action-plan-auahi-kore-aotearoa-mahere-rautaki-2025" TargetMode="External"/><Relationship Id="rId86" Type="http://schemas.openxmlformats.org/officeDocument/2006/relationships/image" Target="media/image30.png"/><Relationship Id="rId130" Type="http://schemas.openxmlformats.org/officeDocument/2006/relationships/hyperlink" Target="https://tewhatuora.shinyapps.io/covid19/" TargetMode="External"/><Relationship Id="rId135" Type="http://schemas.openxmlformats.org/officeDocument/2006/relationships/image" Target="media/image53.png"/><Relationship Id="rId151" Type="http://schemas.openxmlformats.org/officeDocument/2006/relationships/hyperlink" Target="https://ghdx.healthdata.org/record/ihme-data/gbd-2019-life-tables-1950-2019" TargetMode="External"/><Relationship Id="rId156" Type="http://schemas.openxmlformats.org/officeDocument/2006/relationships/hyperlink" Target="https://mohgovtnz.sharepoint.com/sites/moh-ecm-FunAnaandIns/Shared%20Documents/Health%20and%20Independence%20Report/Health%20and%20Independence%20Report%202022/Report/www.health.govt.nz/system/files/documents/publications/household-food-insecurity-among-children-new-zealand-health-survey-summary-of-findings-jun19.pdf" TargetMode="External"/><Relationship Id="rId177" Type="http://schemas.openxmlformats.org/officeDocument/2006/relationships/hyperlink" Target="https://minhealthnz.shinyapps.io/nz-health-survey-2021-22-annual-data-explorer/" TargetMode="External"/><Relationship Id="rId198" Type="http://schemas.openxmlformats.org/officeDocument/2006/relationships/hyperlink" Target="https://mohgovtnz.sharepoint.com/sites/moh-ecm-FunAnaandIns/Shared%20Documents/Health%20and%20Independence%20Report/Health%20and%20Independence%20Report%202022/Report/www.stats.govt.nz/news/disabled-people-fare-worse-in-their-home-economic-and-social-lives" TargetMode="External"/><Relationship Id="rId172" Type="http://schemas.openxmlformats.org/officeDocument/2006/relationships/hyperlink" Target="https://mohgovtnz.sharepoint.com/sites/moh-ecm-FunAnaandIns/Shared%20Documents/Health%20and%20Independence%20Report/Health%20and%20Independence%20Report%202022/Report/www.health.govt.nz/system/files/documents/publications/methodology_report_2021_22-_new_zealand_health_survey_11_nov.pdf" TargetMode="External"/><Relationship Id="rId193" Type="http://schemas.openxmlformats.org/officeDocument/2006/relationships/hyperlink" Target="https://assets-global.website-files.com/63b7328effdfd4238ae0d82b/6477d04a93cbb8fad11d4a24_NWA12_1_Ethnic%20and%20Gender%20Identity%20FINAL%20PDF%20v2.pdf" TargetMode="External"/><Relationship Id="rId202" Type="http://schemas.openxmlformats.org/officeDocument/2006/relationships/hyperlink" Target="https://datainfoplus.stats.govt.nz/Item/nz.govt.stats/2ed50ad6-8ab8-47df-883d-210a51b50043" TargetMode="External"/><Relationship Id="rId207" Type="http://schemas.openxmlformats.org/officeDocument/2006/relationships/hyperlink" Target="https://mohgovtnz.sharepoint.com/sites/moh-ecm-FunAnaandIns/Shared%20Documents/Health%20and%20Independence%20Report/Health%20and%20Independence%20Report%202022/Report/www.stats.govt.nz/infographics/how-we-measure-child-poverty" TargetMode="External"/><Relationship Id="rId223" Type="http://schemas.openxmlformats.org/officeDocument/2006/relationships/hyperlink" Target="https://teaho.govt.nz/reports/qpi/qpi-lung" TargetMode="External"/><Relationship Id="rId228" Type="http://schemas.openxmlformats.org/officeDocument/2006/relationships/hyperlink" Target="https://reports.hqsc.govt.nz/AHI-explorer/" TargetMode="External"/><Relationship Id="rId244" Type="http://schemas.openxmlformats.org/officeDocument/2006/relationships/hyperlink" Target="https://covid19.govt.nz/current-phase-of-our-covid-19-response/" TargetMode="External"/><Relationship Id="rId249" Type="http://schemas.openxmlformats.org/officeDocument/2006/relationships/hyperlink" Target="https://blogs.otago.ac.nz/rural-urbannz/" TargetMode="Externa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9.png"/><Relationship Id="rId109" Type="http://schemas.openxmlformats.org/officeDocument/2006/relationships/image" Target="media/image41.png"/><Relationship Id="rId34" Type="http://schemas.openxmlformats.org/officeDocument/2006/relationships/image" Target="media/image6.png"/><Relationship Id="rId50" Type="http://schemas.openxmlformats.org/officeDocument/2006/relationships/hyperlink" Target="https://tewhatuora.shinyapps.io/fetal-and-infant-deaths-web-tool/" TargetMode="External"/><Relationship Id="rId55" Type="http://schemas.openxmlformats.org/officeDocument/2006/relationships/image" Target="media/image16.png"/><Relationship Id="rId76" Type="http://schemas.openxmlformats.org/officeDocument/2006/relationships/image" Target="media/image26.png"/><Relationship Id="rId97" Type="http://schemas.openxmlformats.org/officeDocument/2006/relationships/hyperlink" Target="https://www.health.govt.nz/our-work/preventative-health-wellness/immunisation/immunisation-coverage/national-and-regional-immunisation-data" TargetMode="External"/><Relationship Id="rId104" Type="http://schemas.openxmlformats.org/officeDocument/2006/relationships/image" Target="media/image38.png"/><Relationship Id="rId120" Type="http://schemas.openxmlformats.org/officeDocument/2006/relationships/image" Target="media/image46.png"/><Relationship Id="rId125" Type="http://schemas.openxmlformats.org/officeDocument/2006/relationships/image" Target="media/image48.png"/><Relationship Id="rId141" Type="http://schemas.openxmlformats.org/officeDocument/2006/relationships/hyperlink" Target="https://www.health.govt.nz/publication/response-stats-nz-recommendations-health-service-user-dataset" TargetMode="External"/><Relationship Id="rId146" Type="http://schemas.openxmlformats.org/officeDocument/2006/relationships/hyperlink" Target="https://mohgovtnz.sharepoint.com/sites/moh-ecm-FunAnaandIns/Shared%20Documents/Health%20and%20Independence%20Report/Health%20and%20Independence%20Report%202022/Report/www.dpmc.govt.nz/sites/default/files/2021-04/htu-factsheet-primary-and-community-care-en-apr21.pdf" TargetMode="External"/><Relationship Id="rId167" Type="http://schemas.openxmlformats.org/officeDocument/2006/relationships/hyperlink" Target="https://mohgovtnz.sharepoint.com/sites/moh-ecm-FunAnaandIns/Shared%20Documents/Health%20and%20Independence%20Report/Health%20and%20Independence%20Report%202022/Report/www.health.govt.nz/system/files/documents/pages/trends-and-insights-report-4nov22.pdf" TargetMode="External"/><Relationship Id="rId188" Type="http://schemas.openxmlformats.org/officeDocument/2006/relationships/hyperlink" Target="https://mohgovtnz.sharepoint.com/sites/moh-ecm-FunAnaandIns/Shared%20Documents/Health%20and%20Independence%20Report/Health%20and%20Independence%20Report%202022/Report/www.nsu.govt.nz/health-professionals/breastscreen-aotearoa" TargetMode="External"/><Relationship Id="rId7" Type="http://schemas.openxmlformats.org/officeDocument/2006/relationships/styles" Target="styles.xml"/><Relationship Id="rId71" Type="http://schemas.openxmlformats.org/officeDocument/2006/relationships/hyperlink" Target="https://minhealthnz.shinyapps.io/nz-health-survey-2021-22-annual-data-explorer/_w_6c1c393e/" TargetMode="External"/><Relationship Id="rId92" Type="http://schemas.openxmlformats.org/officeDocument/2006/relationships/image" Target="media/image33.png"/><Relationship Id="rId162" Type="http://schemas.openxmlformats.org/officeDocument/2006/relationships/hyperlink" Target="https://mohgovtnz.sharepoint.com/sites/moh-ecm-FunAnaandIns/Shared%20Documents/Health%20and%20Independence%20Report/Health%20and%20Independence%20Report%202022/Report/www.health.govt.nz/our-work/diseases-and-conditions/covid-19-novel-coronavirus/covid-19-health-advice-public/long-covid" TargetMode="External"/><Relationship Id="rId183" Type="http://schemas.openxmlformats.org/officeDocument/2006/relationships/hyperlink" Target="https://mohgovtnz.sharepoint.com/sites/moh-ecm-FunAnaandIns/Shared%20Documents/Health%20and%20Independence%20Report/Health%20and%20Independence%20Report%202022/Report/www.health.govt.nz/your-health/healthy-living/immunisation" TargetMode="External"/><Relationship Id="rId213" Type="http://schemas.openxmlformats.org/officeDocument/2006/relationships/hyperlink" Target="https://mohgovtnz.sharepoint.com/sites/moh-ecm-FunAnaandIns/Shared%20Documents/Health%20and%20Independence%20Report/Health%20and%20Independence%20Report%202022/Report/www.stats.govt.nz/information-releases/wellbeing-statistics-2021" TargetMode="External"/><Relationship Id="rId218" Type="http://schemas.openxmlformats.org/officeDocument/2006/relationships/hyperlink" Target="https://mohgovtnz.sharepoint.com/sites/moh-ecm-FunAnaandIns/Shared%20Documents/Health%20and%20Independence%20Report/Health%20and%20Independence%20Report%202022/Report/www.stats.govt.nz/topics/population" TargetMode="External"/><Relationship Id="rId234" Type="http://schemas.openxmlformats.org/officeDocument/2006/relationships/hyperlink" Target="https://tewhatuora.shinyapps.io/covid19/" TargetMode="External"/><Relationship Id="rId239" Type="http://schemas.openxmlformats.org/officeDocument/2006/relationships/hyperlink" Target="https://healthed.govt.nz/products/the-national-immunisation-schedule" TargetMode="External"/><Relationship Id="rId2" Type="http://schemas.openxmlformats.org/officeDocument/2006/relationships/customXml" Target="../customXml/item2.xml"/><Relationship Id="rId29" Type="http://schemas.openxmlformats.org/officeDocument/2006/relationships/hyperlink" Target="http://www.stats.govt.nz/information-releases/national-and-subnational-period-life-tables-2017-2019" TargetMode="External"/><Relationship Id="rId250" Type="http://schemas.openxmlformats.org/officeDocument/2006/relationships/hyperlink" Target="https://mohgovtnz.sharepoint.com/sites/moh-ecm-FunAnaandIns/Shared%20Documents/Health%20and%20Independence%20Report/Health%20and%20Independence%20Report%202022/Report/www.whaikaha.govt.nz/about-us/enabling-good-lives" TargetMode="External"/><Relationship Id="rId255" Type="http://schemas.openxmlformats.org/officeDocument/2006/relationships/hyperlink" Target="https://covid19.who.int/" TargetMode="External"/><Relationship Id="rId24" Type="http://schemas.openxmlformats.org/officeDocument/2006/relationships/footer" Target="footer6.xml"/><Relationship Id="rId40" Type="http://schemas.openxmlformats.org/officeDocument/2006/relationships/image" Target="media/image10.png"/><Relationship Id="rId45" Type="http://schemas.openxmlformats.org/officeDocument/2006/relationships/hyperlink" Target="http://www.stats.govt.nz/information-releases/national-and-subnational-period-life-tables-2017-2019" TargetMode="External"/><Relationship Id="rId66" Type="http://schemas.openxmlformats.org/officeDocument/2006/relationships/image" Target="media/image22.png"/><Relationship Id="rId87" Type="http://schemas.openxmlformats.org/officeDocument/2006/relationships/hyperlink" Target="https://minhealthnz.shinyapps.io/nz-health-survey-2021-22-annual-data-explorer/_w_6c1c393e/" TargetMode="External"/><Relationship Id="rId110" Type="http://schemas.openxmlformats.org/officeDocument/2006/relationships/hyperlink" Target="https://nsfl.health.govt.nz/accountability/performance-and-monitoring/data-quarterly-reports-and-reporting/ambulatory-sensitive" TargetMode="External"/><Relationship Id="rId115" Type="http://schemas.openxmlformats.org/officeDocument/2006/relationships/image" Target="media/image44.png"/><Relationship Id="rId131" Type="http://schemas.openxmlformats.org/officeDocument/2006/relationships/image" Target="media/image51.png"/><Relationship Id="rId136" Type="http://schemas.openxmlformats.org/officeDocument/2006/relationships/image" Target="media/image54.png"/><Relationship Id="rId157" Type="http://schemas.openxmlformats.org/officeDocument/2006/relationships/hyperlink" Target="https://mohgovtnz.sharepoint.com/sites/moh-ecm-FunAnaandIns/Shared%20Documents/Health%20and%20Independence%20Report/Health%20and%20Independence%20Report%202022/Report/www.health.govt.nz/publication/eating-and-activity-guidelines-new-zealand-adults" TargetMode="External"/><Relationship Id="rId178" Type="http://schemas.openxmlformats.org/officeDocument/2006/relationships/hyperlink" Target="https://mohgovtnz.sharepoint.com/sites/moh-ecm-FunAnaandIns/Shared%20Documents/Health%20and%20Independence%20Report/Health%20and%20Independence%20Report%202022/Report/www.health.govt.nz/our-work/populations/maori-health/ao-mai-te-ra-anti-racism-kaupapa" TargetMode="External"/><Relationship Id="rId61" Type="http://schemas.openxmlformats.org/officeDocument/2006/relationships/hyperlink" Target="https://tewhatuora.shinyapps.io/virtual-diabetes-register-web-tool/" TargetMode="External"/><Relationship Id="rId82" Type="http://schemas.openxmlformats.org/officeDocument/2006/relationships/image" Target="media/image28.png"/><Relationship Id="rId152" Type="http://schemas.openxmlformats.org/officeDocument/2006/relationships/hyperlink" Target="https://github.com/dkobak/excess-mortality" TargetMode="External"/><Relationship Id="rId173" Type="http://schemas.openxmlformats.org/officeDocument/2006/relationships/hyperlink" Target="https://mohgovtnz.sharepoint.com/sites/moh-ecm-FunAnaandIns/Shared%20Documents/Health%20and%20Independence%20Report/Health%20and%20Independence%20Report%202022/Report/www.health.govt.nz/new-zealand-health-system/new-health-and-disability-system" TargetMode="External"/><Relationship Id="rId194" Type="http://schemas.openxmlformats.org/officeDocument/2006/relationships/hyperlink" Target="https://mohgovtnz.sharepoint.com/sites/moh-ecm-FunAnaandIns/Shared%20Documents/Health%20and%20Independence%20Report/Health%20and%20Independence%20Report%202022/Report/www.policycommons.ac.nz/covid-19-policy-resources/covid-19-timeline/covid-19-timeline-2022" TargetMode="External"/><Relationship Id="rId199" Type="http://schemas.openxmlformats.org/officeDocument/2006/relationships/hyperlink" Target="https://mohgovtnz.sharepoint.com/sites/moh-ecm-FunAnaandIns/Shared%20Documents/Health%20and%20Independence%20Report/Health%20and%20Independence%20Report%202022/Report/www.stats.govt.nz/reports/housing-in-aotearoa-2020" TargetMode="External"/><Relationship Id="rId203" Type="http://schemas.openxmlformats.org/officeDocument/2006/relationships/hyperlink" Target="https://mohgovtnz.sharepoint.com/sites/moh-ecm-FunAnaandIns/Shared%20Documents/Health%20and%20Independence%20Report/Health%20and%20Independence%20Report%202022/Report/www.stats.govt.nz/news/growth-in-life-expectancy-slows" TargetMode="External"/><Relationship Id="rId208" Type="http://schemas.openxmlformats.org/officeDocument/2006/relationships/hyperlink" Target="https://mohgovtnz.sharepoint.com/sites/moh-ecm-FunAnaandIns/Shared%20Documents/Health%20and%20Independence%20Report/Health%20and%20Independence%20Report%202022/Report/www.stats.govt.nz/information-releases/lgbt-plus-population-of-aotearoa-year-ended-june-2021" TargetMode="External"/><Relationship Id="rId229" Type="http://schemas.openxmlformats.org/officeDocument/2006/relationships/hyperlink" Target="https://tewhatuora.shinyapps.io/suicide-web-tool/" TargetMode="External"/><Relationship Id="rId19" Type="http://schemas.openxmlformats.org/officeDocument/2006/relationships/header" Target="header3.xml"/><Relationship Id="rId224" Type="http://schemas.openxmlformats.org/officeDocument/2006/relationships/hyperlink" Target="https://teaho.govt.nz/cancer-numbers/cancer-rates" TargetMode="External"/><Relationship Id="rId240" Type="http://schemas.openxmlformats.org/officeDocument/2006/relationships/hyperlink" Target="https://mohgovtnz.sharepoint.com/sites/moh-ecm-FunAnaandIns/Shared%20Documents/Health%20and%20Independence%20Report/Health%20and%20Independence%20Report%202022/Report/www.tewhatuora.govt.nz/our-health-system/hospitals-and-specialist-services/planned-care-services" TargetMode="External"/><Relationship Id="rId245" Type="http://schemas.openxmlformats.org/officeDocument/2006/relationships/hyperlink" Target="https://covid19.govt.nz/about-our-covid-19-response/history-of-the-covid-19-protection-framework-traffic-lights/" TargetMode="External"/><Relationship Id="rId14" Type="http://schemas.openxmlformats.org/officeDocument/2006/relationships/image" Target="media/image3.jpeg"/><Relationship Id="rId30" Type="http://schemas.openxmlformats.org/officeDocument/2006/relationships/hyperlink" Target="https://www.stats.govt.nz/news/child-poverty-statistics-show-no-annual-change-in-the-year-ended-june-2022/" TargetMode="External"/><Relationship Id="rId35" Type="http://schemas.openxmlformats.org/officeDocument/2006/relationships/hyperlink" Target="https://www.stats.govt.nz/information-releases/births-and-deaths-year-ended-december-2022-including-abridged-period-life-table/" TargetMode="External"/><Relationship Id="rId56" Type="http://schemas.openxmlformats.org/officeDocument/2006/relationships/hyperlink" Target="https://tewhatuora.shinyapps.io/cancer-web-tool/" TargetMode="External"/><Relationship Id="rId77" Type="http://schemas.openxmlformats.org/officeDocument/2006/relationships/hyperlink" Target="https://minhealthnz.shinyapps.io/nz-health-survey-2021-22-annual-data-explorer/_w_6c1c393e/" TargetMode="External"/><Relationship Id="rId100" Type="http://schemas.openxmlformats.org/officeDocument/2006/relationships/image" Target="media/image36.png"/><Relationship Id="rId105" Type="http://schemas.openxmlformats.org/officeDocument/2006/relationships/hyperlink" Target="https://tewhatuora.shinyapps.io/nsu-ncsp-coverage/" TargetMode="External"/><Relationship Id="rId126" Type="http://schemas.openxmlformats.org/officeDocument/2006/relationships/hyperlink" Target="https://tewhatuora.shinyapps.io/covid19/" TargetMode="External"/><Relationship Id="rId147" Type="http://schemas.openxmlformats.org/officeDocument/2006/relationships/hyperlink" Target="https://mohgovtnz.sharepoint.com/sites/moh-ecm-FunAnaandIns/Shared%20Documents/Health%20and%20Independence%20Report/Health%20and%20Independence%20Report%202022/Report/www.healthnavigator.org.nz/clinicians/s/social-determinants-of-health" TargetMode="External"/><Relationship Id="rId168" Type="http://schemas.openxmlformats.org/officeDocument/2006/relationships/hyperlink" Target="https://mohgovtnz.sharepoint.com/sites/moh-ecm-FunAnaandIns/Shared%20Documents/Health%20and%20Independence%20Report/Health%20and%20Independence%20Report%202022/Report/www.health.govt.nz/covid-19-novel-coronavirus/covid-19-health-advice-public/about-covid-19/covid-19-variants" TargetMode="External"/><Relationship Id="rId8" Type="http://schemas.openxmlformats.org/officeDocument/2006/relationships/settings" Target="settings.xml"/><Relationship Id="rId51" Type="http://schemas.openxmlformats.org/officeDocument/2006/relationships/hyperlink" Target="https://vizhub.healthdata.org/gbd-results/" TargetMode="External"/><Relationship Id="rId72" Type="http://schemas.openxmlformats.org/officeDocument/2006/relationships/image" Target="media/image24.png"/><Relationship Id="rId93" Type="http://schemas.openxmlformats.org/officeDocument/2006/relationships/hyperlink" Target="https://www.stats.govt.nz/information-releases/wellbeing-statistics-2021/" TargetMode="External"/><Relationship Id="rId98" Type="http://schemas.openxmlformats.org/officeDocument/2006/relationships/image" Target="media/image35.png"/><Relationship Id="rId121" Type="http://schemas.openxmlformats.org/officeDocument/2006/relationships/hyperlink" Target="https://tewhatuora.shinyapps.io/covid19/" TargetMode="External"/><Relationship Id="rId142" Type="http://schemas.openxmlformats.org/officeDocument/2006/relationships/hyperlink" Target="https://mohgovtnz.sharepoint.com/sites/moh-ecm-FunAnaandIns/Shared%20Documents/Health%20and%20Independence%20Report/Health%20and%20Independence%20Report%202022/Report/www.ash.org.nz/ash_year_10" TargetMode="External"/><Relationship Id="rId163" Type="http://schemas.openxmlformats.org/officeDocument/2006/relationships/hyperlink" Target="https://mohgovtnz.sharepoint.com/sites/moh-ecm-FunAnaandIns/Shared%20Documents/Health%20and%20Independence%20Report/Health%20and%20Independence%20Report%202022/Report/www.health.govt.nz/publication/smokefree-aotearoa-2025-action-plan-auahi-kore-aotearoa-mahere-rautaki-2025" TargetMode="External"/><Relationship Id="rId184" Type="http://schemas.openxmlformats.org/officeDocument/2006/relationships/hyperlink" Target="https://mohgovtnz.sharepoint.com/sites/moh-ecm-FunAnaandIns/Shared%20Documents/Health%20and%20Independence%20Report/Health%20and%20Independence%20Report%202022/Report/www.health.govt.nz/our-work/preventative-health-wellness/immunisation/immunisation-coverage/national-and-regional-immunisation-data" TargetMode="External"/><Relationship Id="rId189" Type="http://schemas.openxmlformats.org/officeDocument/2006/relationships/hyperlink" Target="https://mohgovtnz.sharepoint.com/sites/moh-ecm-FunAnaandIns/Shared%20Documents/Health%20and%20Independence%20Report/Health%20and%20Independence%20Report%202022/Report/www.nsu.govt.nz/health-professionals/national-cervical-screening-programme" TargetMode="External"/><Relationship Id="rId219" Type="http://schemas.openxmlformats.org/officeDocument/2006/relationships/hyperlink" Target="https://mohgovtnz.sharepoint.com/sites/moh-ecm-FunAnaandIns/Shared%20Documents/Health%20and%20Independence%20Report/Health%20and%20Independence%20Report%202022/Report/www.stats.govt.nz/news/return-to-net-migration-gains-in-2022" TargetMode="External"/><Relationship Id="rId3" Type="http://schemas.openxmlformats.org/officeDocument/2006/relationships/customXml" Target="../customXml/item3.xml"/><Relationship Id="rId214" Type="http://schemas.openxmlformats.org/officeDocument/2006/relationships/hyperlink" Target="https://mohgovtnz.sharepoint.com/sites/moh-ecm-FunAnaandIns/Shared%20Documents/Health%20and%20Independence%20Report/Health%20and%20Independence%20Report%202022/Report/www.stats.govt.nz/information-releases/births-and-deaths-year-ended-december-2022-including-abridged-period-life-table" TargetMode="External"/><Relationship Id="rId230" Type="http://schemas.openxmlformats.org/officeDocument/2006/relationships/hyperlink" Target="https://mohgovtnz.sharepoint.com/sites/moh-ecm-FunAnaandIns/Shared%20Documents/Health%20and%20Independence%20Report/Health%20and%20Independence%20Report%202022/Report/www.wellbeingsupport.health.nz/about-access-and-choice" TargetMode="External"/><Relationship Id="rId235" Type="http://schemas.openxmlformats.org/officeDocument/2006/relationships/hyperlink" Target="https://mohgovtnz.sharepoint.com/sites/moh-ecm-FunAnaandIns/Shared%20Documents/Health%20and%20Independence%20Report/Health%20and%20Independence%20Report%202022/Report/www.tewhatuora.govt.nz/our-health-system/primary-care-sector/primary-health-organisations/enrolment-with-a-general-practice-and-primary-health-organisation" TargetMode="External"/><Relationship Id="rId251" Type="http://schemas.openxmlformats.org/officeDocument/2006/relationships/hyperlink" Target="https://mohgovtnz.sharepoint.com/sites/moh-ecm-FunAnaandIns/Shared%20Documents/Health%20and%20Independence%20Report/Health%20and%20Independence%20Report%202022/Report/www.whaikaha.govt.nz/news-and-events/news/covid-19-disability-data-review" TargetMode="External"/><Relationship Id="rId256" Type="http://schemas.openxmlformats.org/officeDocument/2006/relationships/fontTable" Target="fontTable.xml"/><Relationship Id="rId25" Type="http://schemas.openxmlformats.org/officeDocument/2006/relationships/footer" Target="footer7.xml"/><Relationship Id="rId46" Type="http://schemas.openxmlformats.org/officeDocument/2006/relationships/hyperlink" Target="https://tewhatuora.shinyapps.io/mortality-web-tool/" TargetMode="External"/><Relationship Id="rId67" Type="http://schemas.openxmlformats.org/officeDocument/2006/relationships/hyperlink" Target="https://minhealthnz.shinyapps.io/nz-health-survey-2021-22-annual-data-explorer/_w_6c1c393e/" TargetMode="External"/><Relationship Id="rId116" Type="http://schemas.openxmlformats.org/officeDocument/2006/relationships/hyperlink" Target="https://tewhatuora.shinyapps.io/covid19/" TargetMode="External"/><Relationship Id="rId137" Type="http://schemas.openxmlformats.org/officeDocument/2006/relationships/image" Target="media/image55.png"/><Relationship Id="rId158" Type="http://schemas.openxmlformats.org/officeDocument/2006/relationships/hyperlink" Target="https://mohgovtnz.sharepoint.com/sites/moh-ecm-FunAnaandIns/Shared%20Documents/Health%20and%20Independence%20Report/Health%20and%20Independence%20Report%202022/Report/www.health.govt.nz/our-work/immunisation-handbook-2020/5-coronavirus-disease-covid-19" TargetMode="External"/><Relationship Id="rId20" Type="http://schemas.openxmlformats.org/officeDocument/2006/relationships/footer" Target="footer4.xml"/><Relationship Id="rId41" Type="http://schemas.openxmlformats.org/officeDocument/2006/relationships/image" Target="media/image11.png"/><Relationship Id="rId62" Type="http://schemas.openxmlformats.org/officeDocument/2006/relationships/image" Target="media/image20.png"/><Relationship Id="rId83" Type="http://schemas.openxmlformats.org/officeDocument/2006/relationships/hyperlink" Target="https://minhealthnz.shinyapps.io/nz-health-survey-2021-22-annual-data-explorer/_w_6c1c393e/" TargetMode="External"/><Relationship Id="rId88" Type="http://schemas.openxmlformats.org/officeDocument/2006/relationships/hyperlink" Target="https://minhealthnz.shinyapps.io/nz-health-survey-2021-22-annual-data-explorer/_w_6c1c393e/" TargetMode="External"/><Relationship Id="rId111" Type="http://schemas.openxmlformats.org/officeDocument/2006/relationships/image" Target="media/image42.png"/><Relationship Id="rId132" Type="http://schemas.openxmlformats.org/officeDocument/2006/relationships/hyperlink" Target="https://tewhatuora.shinyapps.io/covid19/" TargetMode="External"/><Relationship Id="rId153" Type="http://schemas.openxmlformats.org/officeDocument/2006/relationships/hyperlink" Target="https://mohgovtnz.sharepoint.com/sites/moh-ecm-FunAnaandIns/Shared%20Documents/Health%20and%20Independence%20Report/Health%20and%20Independence%20Report%202022/Report/www.moh.govt.nz/notebook/nbbooks.nsf/0/569DDB6A56F7E726CC2581FC00665BEB/$file/hiso-10001-2017-ethnicity-data-protocols.pdf" TargetMode="External"/><Relationship Id="rId174" Type="http://schemas.openxmlformats.org/officeDocument/2006/relationships/hyperlink" Target="https://mohgovtnz.sharepoint.com/sites/moh-ecm-FunAnaandIns/Shared%20Documents/Health%20and%20Independence%20Report/Health%20and%20Independence%20Report%202022/Report/www.health.govt.nz/system/files/documents/publications/obesity_in_2021-22_16nov.pdf" TargetMode="External"/><Relationship Id="rId179" Type="http://schemas.openxmlformats.org/officeDocument/2006/relationships/hyperlink" Target="https://mohgovtnz.sharepoint.com/sites/moh-ecm-FunAnaandIns/Shared%20Documents/Health%20and%20Independence%20Report/Health%20and%20Independence%20Report%202022/Report/www.health.govt.nz/publication/covid-19-risk-among-disabled-people" TargetMode="External"/><Relationship Id="rId195" Type="http://schemas.openxmlformats.org/officeDocument/2006/relationships/hyperlink" Target="https://www3.stats.govt.nz/New_Zealand_Official_Yearbooks/1936/NZOYB_1936.html" TargetMode="External"/><Relationship Id="rId209" Type="http://schemas.openxmlformats.org/officeDocument/2006/relationships/hyperlink" Target="https://mohgovtnz.sharepoint.com/sites/moh-ecm-FunAnaandIns/Shared%20Documents/Health%20and%20Independence%20Report/Health%20and%20Independence%20Report%202022/Report/www.stats.govt.nz/information-releases/national-population-projections-2022base2073" TargetMode="External"/><Relationship Id="rId190" Type="http://schemas.openxmlformats.org/officeDocument/2006/relationships/hyperlink" Target="https://mohgovtnz.sharepoint.com/sites/moh-ecm-FunAnaandIns/Shared%20Documents/Health%20and%20Independence%20Report/Health%20and%20Independence%20Report%202022/Report/www.nsu.govt.nz/health-professionals/national-bowel-screening-programme" TargetMode="External"/><Relationship Id="rId204" Type="http://schemas.openxmlformats.org/officeDocument/2006/relationships/hyperlink" Target="https://mohgovtnz.sharepoint.com/sites/moh-ecm-FunAnaandIns/Shared%20Documents/Health%20and%20Independence%20Report/Health%20and%20Independence%20Report%202022/Report/www.stats.govt.nz/information-releases/national-and-subnational-period-life-tables-2017-2019" TargetMode="External"/><Relationship Id="rId220" Type="http://schemas.openxmlformats.org/officeDocument/2006/relationships/hyperlink" Target="https://teaho.govt.nz/reports/qpi" TargetMode="External"/><Relationship Id="rId225" Type="http://schemas.openxmlformats.org/officeDocument/2006/relationships/hyperlink" Target="https://mohgovtnz.sharepoint.com/sites/moh-ecm-FunAnaandIns/Shared%20Documents/Health%20and%20Independence%20Report/Health%20and%20Independence%20Report%202022/Report/www.hqsc.govt.nz/our-data/health-quality-and-safety-indicators/patient-experience" TargetMode="External"/><Relationship Id="rId241" Type="http://schemas.openxmlformats.org/officeDocument/2006/relationships/hyperlink" Target="https://mohgovtnz.sharepoint.com/sites/moh-ecm-FunAnaandIns/Shared%20Documents/Health%20and%20Independence%20Report/Health%20and%20Independence%20Report%202022/Report/www.tewhatuora.govt.nz/our-health-system/hospitals-and-specialist-services/public-hospitals" TargetMode="External"/><Relationship Id="rId246" Type="http://schemas.openxmlformats.org/officeDocument/2006/relationships/hyperlink" Target="https://covid19.govt.nz/testing-and-isolation/if-you-have-covid-19/after-you-have-had-covid-19/" TargetMode="External"/><Relationship Id="rId15" Type="http://schemas.openxmlformats.org/officeDocument/2006/relationships/image" Target="media/image4.png"/><Relationship Id="rId36" Type="http://schemas.openxmlformats.org/officeDocument/2006/relationships/image" Target="media/image7.png"/><Relationship Id="rId57" Type="http://schemas.openxmlformats.org/officeDocument/2006/relationships/image" Target="media/image17.png"/><Relationship Id="rId106" Type="http://schemas.openxmlformats.org/officeDocument/2006/relationships/image" Target="media/image39.png"/><Relationship Id="rId127" Type="http://schemas.openxmlformats.org/officeDocument/2006/relationships/image" Target="media/image49.png"/><Relationship Id="rId10" Type="http://schemas.openxmlformats.org/officeDocument/2006/relationships/footnotes" Target="footnotes.xml"/><Relationship Id="rId31" Type="http://schemas.openxmlformats.org/officeDocument/2006/relationships/hyperlink" Target="https://minhealthnz.shinyapps.io/nz-health-survey-2021-22-annual-data-explorer/_w_6c1c393e/" TargetMode="External"/><Relationship Id="rId52" Type="http://schemas.openxmlformats.org/officeDocument/2006/relationships/hyperlink" Target="https://ghdx.healthdata.org/record/ihme-data/gbd-2019-life-tables-1950-2019" TargetMode="External"/><Relationship Id="rId73" Type="http://schemas.openxmlformats.org/officeDocument/2006/relationships/hyperlink" Target="https://minhealthnz.shinyapps.io/nz-health-survey-2021-22-annual-data-explorer/_w_6c1c393e/" TargetMode="External"/><Relationship Id="rId78" Type="http://schemas.openxmlformats.org/officeDocument/2006/relationships/image" Target="media/image27.png"/><Relationship Id="rId94" Type="http://schemas.openxmlformats.org/officeDocument/2006/relationships/hyperlink" Target="https://www.healthed.govt.nz/resource/national-immunisation-schedule-0" TargetMode="External"/><Relationship Id="rId99" Type="http://schemas.openxmlformats.org/officeDocument/2006/relationships/hyperlink" Target="https://www.health.govt.nz/our-work/preventative-health-wellness/immunisation/immunisation-coverage/national-and-regional-immunisation-data" TargetMode="External"/><Relationship Id="rId101" Type="http://schemas.openxmlformats.org/officeDocument/2006/relationships/hyperlink" Target="https://www.health.govt.nz/our-work/preventative-health-wellness/immunisation/hpv-immunisation-programme" TargetMode="External"/><Relationship Id="rId122" Type="http://schemas.openxmlformats.org/officeDocument/2006/relationships/hyperlink" Target="https://www.health.govt.nz/publication/covid-19-risk-among-disabled-people" TargetMode="External"/><Relationship Id="rId143" Type="http://schemas.openxmlformats.org/officeDocument/2006/relationships/hyperlink" Target="https://mohgovtnz.sharepoint.com/sites/moh-ecm-FunAnaandIns/Shared%20Documents/Health%20and%20Independence%20Report/Health%20and%20Independence%20Report%202022/Report/www.otago.ac.nz/wellington/otago823833.pdf" TargetMode="External"/><Relationship Id="rId148" Type="http://schemas.openxmlformats.org/officeDocument/2006/relationships/hyperlink" Target="https://mohgovtnz.sharepoint.com/sites/moh-ecm-FunAnaandIns/Shared%20Documents/Health%20and%20Independence%20Report/Health%20and%20Independence%20Report%202022/Report/www.heartfoundation.org.nz/statistics" TargetMode="External"/><Relationship Id="rId164" Type="http://schemas.openxmlformats.org/officeDocument/2006/relationships/hyperlink" Target="https://mohgovtnz.sharepoint.com/sites/moh-ecm-FunAnaandIns/Shared%20Documents/Health%20and%20Independence%20Report/Health%20and%20Independence%20Report%202022/Report/www.health.govt.nz/nz-health-statistics/health-statistics-and-data-sets/oral-health-data-and-stats/age-5-and-year-8-oral-health-data-community-oral-health-service" TargetMode="External"/><Relationship Id="rId169" Type="http://schemas.openxmlformats.org/officeDocument/2006/relationships/hyperlink" Target="https://mohgovtnz.sharepoint.com/sites/moh-ecm-FunAnaandIns/Shared%20Documents/Health%20and%20Independence%20Report/Health%20and%20Independence%20Report%202022/Report/www.health.govt.nz/covid-19-novel-coronavirus/covid-19-data-and-statistics/covid-19-vaccine-data" TargetMode="External"/><Relationship Id="rId185" Type="http://schemas.openxmlformats.org/officeDocument/2006/relationships/hyperlink" Target="https://mohgovtnz.sharepoint.com/sites/moh-ecm-FunAnaandIns/Shared%20Documents/Health%20and%20Independence%20Report/Health%20and%20Independence%20Report%202022/Report/www.health.govt.nz/our-work/preventative-health-wellness/screening/national-bowel-screening-programm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mohgovtnz.sharepoint.com/sites/moh-ecm-FunAnaandIns/Shared%20Documents/Health%20and%20Independence%20Report/Health%20and%20Independence%20Report%202022/Report/www.healthnavigator.org.nz/medicines/c/covid-19-vaccine-booster" TargetMode="External"/><Relationship Id="rId210" Type="http://schemas.openxmlformats.org/officeDocument/2006/relationships/hyperlink" Target="https://mohgovtnz.sharepoint.com/sites/moh-ecm-FunAnaandIns/Shared%20Documents/Health%20and%20Independence%20Report/Health%20and%20Independence%20Report%202022/Report/www.stats.govt.nz/news/one-in-three-children-projected-to-be-maori" TargetMode="External"/><Relationship Id="rId215" Type="http://schemas.openxmlformats.org/officeDocument/2006/relationships/hyperlink" Target="https://mohgovtnz.sharepoint.com/sites/moh-ecm-FunAnaandIns/Shared%20Documents/Health%20and%20Independence%20Report/Health%20and%20Independence%20Report%202022/Report/www.stats.govt.nz/news/child-poverty-statistics-show-no-annual-change-in-the-year-ended-june-2022" TargetMode="External"/><Relationship Id="rId236" Type="http://schemas.openxmlformats.org/officeDocument/2006/relationships/hyperlink" Target="https://tewhatuora.shinyapps.io/fetal-and-infant-deaths-web-tool/" TargetMode="External"/><Relationship Id="rId257" Type="http://schemas.openxmlformats.org/officeDocument/2006/relationships/theme" Target="theme/theme1.xml"/><Relationship Id="rId26" Type="http://schemas.openxmlformats.org/officeDocument/2006/relationships/header" Target="header6.xml"/><Relationship Id="rId231" Type="http://schemas.openxmlformats.org/officeDocument/2006/relationships/hyperlink" Target="https://mohgovtnz.sharepoint.com/sites/moh-ecm-FunAnaandIns/Shared%20Documents/Health%20and%20Independence%20Report/Health%20and%20Independence%20Report%202022/Report/www.tewhatuora.govt.nz/our-health-system/hospitals-and-specialist-services/acute-care" TargetMode="External"/><Relationship Id="rId252" Type="http://schemas.openxmlformats.org/officeDocument/2006/relationships/hyperlink" Target="https://blogs.otago.ac.nz/rural-urbannz/files/2021/07/The-Geographic-Classification-for-Health-Methodology-and-Classification-Report-May-2021.pdf" TargetMode="External"/><Relationship Id="rId47" Type="http://schemas.openxmlformats.org/officeDocument/2006/relationships/hyperlink" Target="https://tewhatuora.shinyapps.io/mortality-web-tool/" TargetMode="External"/><Relationship Id="rId68" Type="http://schemas.openxmlformats.org/officeDocument/2006/relationships/hyperlink" Target="https://minhealthnz.shinyapps.io/nz-health-survey-2021-22-annual-data-explorer/_w_6c1c393e/" TargetMode="External"/><Relationship Id="rId89" Type="http://schemas.openxmlformats.org/officeDocument/2006/relationships/image" Target="media/image31.png"/><Relationship Id="rId112" Type="http://schemas.openxmlformats.org/officeDocument/2006/relationships/image" Target="media/image43.png"/><Relationship Id="rId133" Type="http://schemas.openxmlformats.org/officeDocument/2006/relationships/image" Target="media/image52.png"/><Relationship Id="rId154" Type="http://schemas.openxmlformats.org/officeDocument/2006/relationships/hyperlink" Target="https://mohgovtnz.sharepoint.com/sites/moh-ecm-FunAnaandIns/Shared%20Documents/Health%20and%20Independence%20Report/Health%20and%20Independence%20Report%202022/Report/www.health.govt.nz/system/files/documents/publications/achieving-equity-in-health-outcomes-summary-of-a-discovery-process-30jul2019.pdf" TargetMode="External"/><Relationship Id="rId175" Type="http://schemas.openxmlformats.org/officeDocument/2006/relationships/hyperlink" Target="https://mohgovtnz.sharepoint.com/sites/moh-ecm-FunAnaandIns/Shared%20Documents/Health%20and%20Independence%20Report/Health%20and%20Independence%20Report%202022/Report/www.health.govt.nz/publication/questionnaires-and-content-guide-2021-22-new-zealand-health-surve" TargetMode="External"/><Relationship Id="rId196" Type="http://schemas.openxmlformats.org/officeDocument/2006/relationships/hyperlink" Target="https://mohgovtnz.sharepoint.com/sites/moh-ecm-FunAnaandIns/Shared%20Documents/Health%20and%20Independence%20Report/Health%20and%20Independence%20Report%202022/Report/www.stats.govt.nz/information-releases/disability-survey-2013" TargetMode="External"/><Relationship Id="rId200" Type="http://schemas.openxmlformats.org/officeDocument/2006/relationships/hyperlink" Target="https://mohgovtnz.sharepoint.com/sites/moh-ecm-FunAnaandIns/Shared%20Documents/Health%20and%20Independence%20Report/Health%20and%20Independence%20Report%202022/Report/www.stats.govt.nz/infographics/the-state-of-housing-in-aotearoa-new-zealand" TargetMode="External"/><Relationship Id="rId16" Type="http://schemas.openxmlformats.org/officeDocument/2006/relationships/footer" Target="footer2.xml"/><Relationship Id="rId221" Type="http://schemas.openxmlformats.org/officeDocument/2006/relationships/hyperlink" Target="https://teaho.govt.nz/reports/qpi/qpi-bowel" TargetMode="External"/><Relationship Id="rId242" Type="http://schemas.openxmlformats.org/officeDocument/2006/relationships/hyperlink" Target="https://tewhatuora.shinyapps.io/virtual-diabetes-register-web-tool/" TargetMode="External"/><Relationship Id="rId37" Type="http://schemas.openxmlformats.org/officeDocument/2006/relationships/hyperlink" Target="https://www.stats.govt.nz/news/one-in-three-children-projected-to-be-maori/" TargetMode="External"/><Relationship Id="rId58" Type="http://schemas.openxmlformats.org/officeDocument/2006/relationships/hyperlink" Target="https://tewhatuora.shinyapps.io/mortality-web-tool/" TargetMode="External"/><Relationship Id="rId79" Type="http://schemas.openxmlformats.org/officeDocument/2006/relationships/hyperlink" Target="https://tewhatuora.shinyapps.io/suicide-web-tool/" TargetMode="External"/><Relationship Id="rId102" Type="http://schemas.openxmlformats.org/officeDocument/2006/relationships/image" Target="media/image37.png"/><Relationship Id="rId123" Type="http://schemas.openxmlformats.org/officeDocument/2006/relationships/image" Target="media/image47.png"/><Relationship Id="rId144" Type="http://schemas.openxmlformats.org/officeDocument/2006/relationships/hyperlink" Target="https://mohgovtnz.sharepoint.com/sites/moh-ecm-FunAnaandIns/Shared%20Documents/Health%20and%20Independence%20Report/Health%20and%20Independence%20Report%202022/Report/www.health.govt.nz/system/files/documents/publications/cornwallanddavey.pdf" TargetMode="External"/><Relationship Id="rId90" Type="http://schemas.openxmlformats.org/officeDocument/2006/relationships/image" Target="media/image32.png"/><Relationship Id="rId165" Type="http://schemas.openxmlformats.org/officeDocument/2006/relationships/hyperlink" Target="https://mohgovtnz.sharepoint.com/sites/moh-ecm-FunAnaandIns/Shared%20Documents/Health%20and%20Independence%20Report/Health%20and%20Independence%20Report%202022/Report/www.health.govt.nz/your-health/healthy-living/addictions/alcohol-and-drug-abuse/alcohol" TargetMode="External"/><Relationship Id="rId186" Type="http://schemas.openxmlformats.org/officeDocument/2006/relationships/hyperlink" Target="https://mohgovtnz.sharepoint.com/sites/moh-ecm-FunAnaandIns/Shared%20Documents/Health%20and%20Independence%20Report/Health%20and%20Independence%20Report%202022/Report/www.health.govt.nz/nz-health-statistics/national-collections-and-surveys/surveys/new-zealand-health-survey" TargetMode="External"/><Relationship Id="rId211" Type="http://schemas.openxmlformats.org/officeDocument/2006/relationships/hyperlink" Target="https://mohgovtnz.sharepoint.com/sites/moh-ecm-FunAnaandIns/Shared%20Documents/Health%20and%20Independence%20Report/Health%20and%20Independence%20Report%202022/Report/www.stats.govt.nz/news/persistent-labour-market-gaps-remain-for-disabled-people" TargetMode="External"/><Relationship Id="rId232" Type="http://schemas.openxmlformats.org/officeDocument/2006/relationships/hyperlink" Target="https://tewhatuora.shinyapps.io/nsu-bsa-coverage/" TargetMode="External"/><Relationship Id="rId253" Type="http://schemas.openxmlformats.org/officeDocument/2006/relationships/hyperlink" Target="https://mohgovtnz.sharepoint.com/sites/moh-ecm-FunAnaandIns/Shared%20Documents/Health%20and%20Independence%20Report/Health%20and%20Independence%20Report%202022/Report/www.who.int/europe/emergencies/situations/covid-19" TargetMode="External"/><Relationship Id="rId27" Type="http://schemas.openxmlformats.org/officeDocument/2006/relationships/footer" Target="footer8.xml"/><Relationship Id="rId48" Type="http://schemas.openxmlformats.org/officeDocument/2006/relationships/hyperlink" Target="https://tewhatuora.shinyapps.io/fetal-and-infant-deaths-web-tool/" TargetMode="External"/><Relationship Id="rId69" Type="http://schemas.openxmlformats.org/officeDocument/2006/relationships/hyperlink" Target="https://www.stats.govt.nz/information-releases/lgbt-plus-population-of-aotearoa-year-ended-june-2021" TargetMode="External"/><Relationship Id="rId113" Type="http://schemas.openxmlformats.org/officeDocument/2006/relationships/hyperlink" Target="https://reports.hqsc.govt.nz/AHI-explorer/" TargetMode="External"/><Relationship Id="rId134" Type="http://schemas.openxmlformats.org/officeDocument/2006/relationships/hyperlink" Target="https://tewhatuora.shinyapps.io/covid19/" TargetMode="External"/><Relationship Id="rId80" Type="http://schemas.openxmlformats.org/officeDocument/2006/relationships/hyperlink" Target="https://www.stats.govt.nz/news/child-poverty-statistics-show-no-annual-change-in-the-year-ended-june-2022/" TargetMode="External"/><Relationship Id="rId155" Type="http://schemas.openxmlformats.org/officeDocument/2006/relationships/hyperlink" Target="https://mohgovtnz.sharepoint.com/sites/moh-ecm-FunAnaandIns/Shared%20Documents/Health%20and%20Independence%20Report/Health%20and%20Independence%20Report%202022/Report/www.health.govt.nz/publication/fetal-and-infant-deaths-2016" TargetMode="External"/><Relationship Id="rId176" Type="http://schemas.openxmlformats.org/officeDocument/2006/relationships/hyperlink" Target="https://mohgovtnz.sharepoint.com/sites/moh-ecm-FunAnaandIns/Shared%20Documents/Health%20and%20Independence%20Report/Health%20and%20Independence%20Report%202022/Report/www.health.govt.nz/publication/response-stats-nz-recommendations-health-service-user-dataset" TargetMode="External"/><Relationship Id="rId197" Type="http://schemas.openxmlformats.org/officeDocument/2006/relationships/hyperlink" Target="https://mohgovtnz.sharepoint.com/sites/moh-ecm-FunAnaandIns/Shared%20Documents/Health%20and%20Independence%20Report/Health%20and%20Independence%20Report%202022/Report/www.stats.govt.nz/tools/2018-census-ethnic-group-summaries" TargetMode="External"/><Relationship Id="rId201" Type="http://schemas.openxmlformats.org/officeDocument/2006/relationships/hyperlink" Target="https://mohgovtnz.sharepoint.com/sites/moh-ecm-FunAnaandIns/Shared%20Documents/Health%20and%20Independence%20Report/Health%20and%20Independence%20Report%202022/Report/www.stats.govt.nz/news/wellbeing-outcomes-worse-for-sole-parents" TargetMode="External"/><Relationship Id="rId222" Type="http://schemas.openxmlformats.org/officeDocument/2006/relationships/hyperlink" Target="https://teaho.govt.nz/cancer-numbers" TargetMode="External"/><Relationship Id="rId243" Type="http://schemas.openxmlformats.org/officeDocument/2006/relationships/hyperlink" Target="https://mohgovtnz.sharepoint.com/sites/moh-ecm-FunAnaandIns/Shared%20Documents/Health%20and%20Independence%20Report/Health%20and%20Independence%20Report%202022/Report/www.influenza.org.nz/clinical-info/new-zealand-immunisation-strategy" TargetMode="External"/><Relationship Id="rId17" Type="http://schemas.openxmlformats.org/officeDocument/2006/relationships/footer" Target="footer3.xml"/><Relationship Id="rId38" Type="http://schemas.openxmlformats.org/officeDocument/2006/relationships/image" Target="media/image8.png"/><Relationship Id="rId59" Type="http://schemas.openxmlformats.org/officeDocument/2006/relationships/image" Target="media/image18.png"/><Relationship Id="rId103" Type="http://schemas.openxmlformats.org/officeDocument/2006/relationships/hyperlink" Target="https://tewhatuora.shinyapps.io/nsu-bsa-coverage/" TargetMode="External"/><Relationship Id="rId124" Type="http://schemas.openxmlformats.org/officeDocument/2006/relationships/hyperlink" Target="https://tewhatuora.shinyapps.io/covid1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rymaps.arcgis.com/stories/da035e374dbb4ea0ae3b31b6777924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172" ma:contentTypeDescription="Create a new document." ma:contentTypeScope="" ma:versionID="5c156411641dd946592812bdb236aff0">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570d47e874c6572a528ed6f176c4a662"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DateTaken" minOccurs="0"/>
                <xsd:element ref="ns9:MediaLengthInSeconds" minOccurs="0"/>
                <xsd:element ref="ns9:MediaServiceOCR" minOccurs="0"/>
                <xsd:element ref="ns9: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aa5b289b-de1c-44a5-94ae-16de97d43951}"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Evidence and Research" ma:hidden="true" ma:internalName="FunctionGroup" ma:readOnly="false">
      <xsd:simpleType>
        <xsd:restriction base="dms:Text">
          <xsd:maxLength value="255"/>
        </xsd:restriction>
      </xsd:simpleType>
    </xsd:element>
    <xsd:element name="Function" ma:index="22" nillable="true" ma:displayName="Function" ma:default="Analytics and Insight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Analytics and Insight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DateTaken" ma:index="60" nillable="true" ma:displayName="MediaServiceDateTaken" ma:hidden="true" ma:indexed="true" ma:internalName="MediaServiceDateTaken" ma:readOnly="true">
      <xsd:simpleType>
        <xsd:restriction base="dms:Text"/>
      </xsd:simpleType>
    </xsd:element>
    <xsd:element name="MediaLengthInSeconds" ma:index="61" nillable="true" ma:displayName="MediaLengthInSeconds" ma:hidden="true" ma:internalName="MediaLengthInSeconds" ma:readOnly="true">
      <xsd:simpleType>
        <xsd:restriction base="dms:Unknown"/>
      </xsd:simpleType>
    </xsd:element>
    <xsd:element name="MediaServiceOCR" ma:index="62" nillable="true" ma:displayName="Extracted Text" ma:internalName="MediaServiceOCR" ma:readOnly="true">
      <xsd:simpleType>
        <xsd:restriction base="dms:Note">
          <xsd:maxLength value="255"/>
        </xsd:restriction>
      </xsd:simpleType>
    </xsd:element>
    <xsd:element name="Notes" ma:index="63"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AggregationStatus xmlns="4f9c820c-e7e2-444d-97ee-45f2b3485c1d">Normal</AggregationStatus>
    <OverrideLabel xmlns="d0b61010-d6f3-4072-b934-7bbb13e97771" xsi:nil="true"/>
    <lcf76f155ced4ddcb4097134ff3c332f xmlns="54904628-6268-4ac5-9416-97794f1d508d">
      <Terms xmlns="http://schemas.microsoft.com/office/infopath/2007/PartnerControls"/>
    </lcf76f155ced4ddcb4097134ff3c332f>
    <CategoryValue xmlns="4f9c820c-e7e2-444d-97ee-45f2b3485c1d">Report</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Analytics and Insights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Health and Independence Report</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Notes xmlns="54904628-6268-4ac5-9416-97794f1d508d" xsi:nil="true"/>
    <Year xmlns="c91a514c-9034-4fa3-897a-8352025b26ed">NA</Year>
    <Narrative xmlns="4f9c820c-e7e2-444d-97ee-45f2b3485c1d" xsi:nil="true"/>
    <CategoryName xmlns="4f9c820c-e7e2-444d-97ee-45f2b3485c1d">Health and Independence Report 2022</CategoryName>
    <PRADateTrigger xmlns="4f9c820c-e7e2-444d-97ee-45f2b3485c1d" xsi:nil="true"/>
    <PRAText2 xmlns="4f9c820c-e7e2-444d-97ee-45f2b3485c1d" xsi:nil="true"/>
    <zLegacyID xmlns="184c05c4-c568-455d-94a4-7e009b164348" xsi:nil="true"/>
    <_dlc_DocId xmlns="c5b47098-0215-444c-9096-523bda4ac5c6">MOHECM-730707836-3035</_dlc_DocId>
    <_dlc_DocIdUrl xmlns="c5b47098-0215-444c-9096-523bda4ac5c6">
      <Url>https://mohgovtnz.sharepoint.com/sites/moh-ecm-FunAnaandIns/_layouts/15/DocIdRedir.aspx?ID=MOHECM-730707836-3035</Url>
      <Description>MOHECM-730707836-3035</Description>
    </_dlc_DocIdUrl>
  </documentManagement>
</p:properties>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ABB9EEE7-2E9F-4231-88A6-A04B3A6B194A}">
  <ds:schemaRefs>
    <ds:schemaRef ds:uri="http://schemas.microsoft.com/sharepoint/event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5B6C0F2A-9568-4D75-B2E0-93F876153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c5b47098-0215-444c-9096-523bda4ac5c6"/>
    <ds:schemaRef ds:uri="d0b61010-d6f3-4072-b934-7bbb13e97771"/>
    <ds:schemaRef ds:uri="54904628-6268-4ac5-9416-97794f1d508d"/>
    <ds:schemaRef ds:uri="725c79e5-42ce-4aa0-ac78-b6418001f0d2"/>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45</TotalTime>
  <Pages>96</Pages>
  <Words>53527</Words>
  <Characters>305110</Characters>
  <Application>Microsoft Office Word</Application>
  <DocSecurity>0</DocSecurity>
  <Lines>2542</Lines>
  <Paragraphs>715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357922</CharactersWithSpaces>
  <SharedDoc>false</SharedDoc>
  <HLinks>
    <vt:vector size="1050" baseType="variant">
      <vt:variant>
        <vt:i4>983053</vt:i4>
      </vt:variant>
      <vt:variant>
        <vt:i4>1769</vt:i4>
      </vt:variant>
      <vt:variant>
        <vt:i4>0</vt:i4>
      </vt:variant>
      <vt:variant>
        <vt:i4>5</vt:i4>
      </vt:variant>
      <vt:variant>
        <vt:lpwstr>https://covid19.who.int/</vt:lpwstr>
      </vt:variant>
      <vt:variant>
        <vt:lpwstr/>
      </vt:variant>
      <vt:variant>
        <vt:i4>5570560</vt:i4>
      </vt:variant>
      <vt:variant>
        <vt:i4>1766</vt:i4>
      </vt:variant>
      <vt:variant>
        <vt:i4>0</vt:i4>
      </vt:variant>
      <vt:variant>
        <vt:i4>5</vt:i4>
      </vt:variant>
      <vt:variant>
        <vt:lpwstr>https://mohgovtnz.sharepoint.com/sites/moh-ecm-FunAnaandIns/Shared Documents/Health and Independence Report/Health and Independence Report 2022/Report/www.who.int/news-room/fact-sheets/detail/noncommunicable-diseases</vt:lpwstr>
      </vt:variant>
      <vt:variant>
        <vt:lpwstr/>
      </vt:variant>
      <vt:variant>
        <vt:i4>1900550</vt:i4>
      </vt:variant>
      <vt:variant>
        <vt:i4>1763</vt:i4>
      </vt:variant>
      <vt:variant>
        <vt:i4>0</vt:i4>
      </vt:variant>
      <vt:variant>
        <vt:i4>5</vt:i4>
      </vt:variant>
      <vt:variant>
        <vt:lpwstr>https://mohgovtnz.sharepoint.com/sites/moh-ecm-FunAnaandIns/Shared Documents/Health and Independence Report/Health and Independence Report 2022/Report/www.who.int/europe/emergencies/situations/covid-19</vt:lpwstr>
      </vt:variant>
      <vt:variant>
        <vt:lpwstr/>
      </vt:variant>
      <vt:variant>
        <vt:i4>5832723</vt:i4>
      </vt:variant>
      <vt:variant>
        <vt:i4>1760</vt:i4>
      </vt:variant>
      <vt:variant>
        <vt:i4>0</vt:i4>
      </vt:variant>
      <vt:variant>
        <vt:i4>5</vt:i4>
      </vt:variant>
      <vt:variant>
        <vt:lpwstr>https://blogs.otago.ac.nz/rural-urbannz/files/2021/07/The-Geographic-Classification-for-Health-Methodology-and-Classification-Report-May-2021.pdf</vt:lpwstr>
      </vt:variant>
      <vt:variant>
        <vt:lpwstr/>
      </vt:variant>
      <vt:variant>
        <vt:i4>5374037</vt:i4>
      </vt:variant>
      <vt:variant>
        <vt:i4>1757</vt:i4>
      </vt:variant>
      <vt:variant>
        <vt:i4>0</vt:i4>
      </vt:variant>
      <vt:variant>
        <vt:i4>5</vt:i4>
      </vt:variant>
      <vt:variant>
        <vt:lpwstr>https://mohgovtnz.sharepoint.com/sites/moh-ecm-FunAnaandIns/Shared Documents/Health and Independence Report/Health and Independence Report 2022/Report/www.whaikaha.govt.nz/news-and-events/news/covid-19-disability-data-review</vt:lpwstr>
      </vt:variant>
      <vt:variant>
        <vt:lpwstr/>
      </vt:variant>
      <vt:variant>
        <vt:i4>5636167</vt:i4>
      </vt:variant>
      <vt:variant>
        <vt:i4>1754</vt:i4>
      </vt:variant>
      <vt:variant>
        <vt:i4>0</vt:i4>
      </vt:variant>
      <vt:variant>
        <vt:i4>5</vt:i4>
      </vt:variant>
      <vt:variant>
        <vt:lpwstr>https://mohgovtnz.sharepoint.com/sites/moh-ecm-FunAnaandIns/Shared Documents/Health and Independence Report/Health and Independence Report 2022/Report/www.whaikaha.govt.nz/about-us/enabling-good-lives</vt:lpwstr>
      </vt:variant>
      <vt:variant>
        <vt:lpwstr/>
      </vt:variant>
      <vt:variant>
        <vt:i4>4194309</vt:i4>
      </vt:variant>
      <vt:variant>
        <vt:i4>1751</vt:i4>
      </vt:variant>
      <vt:variant>
        <vt:i4>0</vt:i4>
      </vt:variant>
      <vt:variant>
        <vt:i4>5</vt:i4>
      </vt:variant>
      <vt:variant>
        <vt:lpwstr>https://blogs.otago.ac.nz/rural-urbannz/</vt:lpwstr>
      </vt:variant>
      <vt:variant>
        <vt:lpwstr/>
      </vt:variant>
      <vt:variant>
        <vt:i4>5767243</vt:i4>
      </vt:variant>
      <vt:variant>
        <vt:i4>1748</vt:i4>
      </vt:variant>
      <vt:variant>
        <vt:i4>0</vt:i4>
      </vt:variant>
      <vt:variant>
        <vt:i4>5</vt:i4>
      </vt:variant>
      <vt:variant>
        <vt:lpwstr>https://mohgovtnz.sharepoint.com/sites/moh-ecm-FunAnaandIns/Shared Documents/Health and Independence Report/Health and Independence Report 2022/Report/www.otago.ac.nz/wellington/otago023745.pdf</vt:lpwstr>
      </vt:variant>
      <vt:variant>
        <vt:lpwstr/>
      </vt:variant>
      <vt:variant>
        <vt:i4>1572876</vt:i4>
      </vt:variant>
      <vt:variant>
        <vt:i4>1745</vt:i4>
      </vt:variant>
      <vt:variant>
        <vt:i4>0</vt:i4>
      </vt:variant>
      <vt:variant>
        <vt:i4>5</vt:i4>
      </vt:variant>
      <vt:variant>
        <vt:lpwstr>https://mohgovtnz.sharepoint.com/sites/moh-ecm-FunAnaandIns/Shared Documents/Health and Independence Report/Health and Independence Report 2022/Report/www.uofmhealth.org/conditions-treatments/brain-neurological-conditions/cerebrovascular</vt:lpwstr>
      </vt:variant>
      <vt:variant>
        <vt:lpwstr/>
      </vt:variant>
      <vt:variant>
        <vt:i4>2424936</vt:i4>
      </vt:variant>
      <vt:variant>
        <vt:i4>1742</vt:i4>
      </vt:variant>
      <vt:variant>
        <vt:i4>0</vt:i4>
      </vt:variant>
      <vt:variant>
        <vt:i4>5</vt:i4>
      </vt:variant>
      <vt:variant>
        <vt:lpwstr>https://covid19.govt.nz/testing-and-isolation/if-you-have-covid-19/after-you-have-had-covid-19/</vt:lpwstr>
      </vt:variant>
      <vt:variant>
        <vt:lpwstr/>
      </vt:variant>
      <vt:variant>
        <vt:i4>786456</vt:i4>
      </vt:variant>
      <vt:variant>
        <vt:i4>1739</vt:i4>
      </vt:variant>
      <vt:variant>
        <vt:i4>0</vt:i4>
      </vt:variant>
      <vt:variant>
        <vt:i4>5</vt:i4>
      </vt:variant>
      <vt:variant>
        <vt:lpwstr>https://covid19.govt.nz/about-our-covid-19-response/history-of-the-covid-19-protection-framework-traffic-lights/</vt:lpwstr>
      </vt:variant>
      <vt:variant>
        <vt:lpwstr/>
      </vt:variant>
      <vt:variant>
        <vt:i4>2621484</vt:i4>
      </vt:variant>
      <vt:variant>
        <vt:i4>1736</vt:i4>
      </vt:variant>
      <vt:variant>
        <vt:i4>0</vt:i4>
      </vt:variant>
      <vt:variant>
        <vt:i4>5</vt:i4>
      </vt:variant>
      <vt:variant>
        <vt:lpwstr>https://covid19.govt.nz/current-phase-of-our-covid-19-response/</vt:lpwstr>
      </vt:variant>
      <vt:variant>
        <vt:lpwstr/>
      </vt:variant>
      <vt:variant>
        <vt:i4>2162795</vt:i4>
      </vt:variant>
      <vt:variant>
        <vt:i4>1733</vt:i4>
      </vt:variant>
      <vt:variant>
        <vt:i4>0</vt:i4>
      </vt:variant>
      <vt:variant>
        <vt:i4>5</vt:i4>
      </vt:variant>
      <vt:variant>
        <vt:lpwstr>https://mohgovtnz.sharepoint.com/sites/moh-ecm-FunAnaandIns/Shared Documents/Health and Independence Report/Health and Independence Report 2022/Report/www.influenza.org.nz/clinical-info/new-zealand-immunisation-strategy</vt:lpwstr>
      </vt:variant>
      <vt:variant>
        <vt:lpwstr/>
      </vt:variant>
      <vt:variant>
        <vt:i4>7864428</vt:i4>
      </vt:variant>
      <vt:variant>
        <vt:i4>1730</vt:i4>
      </vt:variant>
      <vt:variant>
        <vt:i4>0</vt:i4>
      </vt:variant>
      <vt:variant>
        <vt:i4>5</vt:i4>
      </vt:variant>
      <vt:variant>
        <vt:lpwstr>https://tewhatuora.shinyapps.io/virtual-diabetes-register-web-tool/</vt:lpwstr>
      </vt:variant>
      <vt:variant>
        <vt:lpwstr/>
      </vt:variant>
      <vt:variant>
        <vt:i4>7012461</vt:i4>
      </vt:variant>
      <vt:variant>
        <vt:i4>1727</vt:i4>
      </vt:variant>
      <vt:variant>
        <vt:i4>0</vt:i4>
      </vt:variant>
      <vt:variant>
        <vt:i4>5</vt:i4>
      </vt:variant>
      <vt:variant>
        <vt:lpwstr>https://mohgovtnz.sharepoint.com/sites/moh-ecm-FunAnaandIns/Shared Documents/Health and Independence Report/Health and Independence Report 2022/Report/www.tewhatuora.govt.nz/our-health-system/hospitals-and-specialist-services/public-hospitals</vt:lpwstr>
      </vt:variant>
      <vt:variant>
        <vt:lpwstr/>
      </vt:variant>
      <vt:variant>
        <vt:i4>3276907</vt:i4>
      </vt:variant>
      <vt:variant>
        <vt:i4>1724</vt:i4>
      </vt:variant>
      <vt:variant>
        <vt:i4>0</vt:i4>
      </vt:variant>
      <vt:variant>
        <vt:i4>5</vt:i4>
      </vt:variant>
      <vt:variant>
        <vt:lpwstr>https://mohgovtnz.sharepoint.com/sites/moh-ecm-FunAnaandIns/Shared Documents/Health and Independence Report/Health and Independence Report 2022/Report/www.tewhatuora.govt.nz/our-health-system/hospitals-and-specialist-services/planned-care-services</vt:lpwstr>
      </vt:variant>
      <vt:variant>
        <vt:lpwstr/>
      </vt:variant>
      <vt:variant>
        <vt:i4>1441798</vt:i4>
      </vt:variant>
      <vt:variant>
        <vt:i4>1721</vt:i4>
      </vt:variant>
      <vt:variant>
        <vt:i4>0</vt:i4>
      </vt:variant>
      <vt:variant>
        <vt:i4>5</vt:i4>
      </vt:variant>
      <vt:variant>
        <vt:lpwstr>https://healthed.govt.nz/products/the-national-immunisation-schedule</vt:lpwstr>
      </vt:variant>
      <vt:variant>
        <vt:lpwstr/>
      </vt:variant>
      <vt:variant>
        <vt:i4>2228344</vt:i4>
      </vt:variant>
      <vt:variant>
        <vt:i4>1718</vt:i4>
      </vt:variant>
      <vt:variant>
        <vt:i4>0</vt:i4>
      </vt:variant>
      <vt:variant>
        <vt:i4>5</vt:i4>
      </vt:variant>
      <vt:variant>
        <vt:lpwstr>https://tewhatuora.shinyapps.io/nsu-ncsp-coverage/</vt:lpwstr>
      </vt:variant>
      <vt:variant>
        <vt:lpwstr/>
      </vt:variant>
      <vt:variant>
        <vt:i4>2424893</vt:i4>
      </vt:variant>
      <vt:variant>
        <vt:i4>1715</vt:i4>
      </vt:variant>
      <vt:variant>
        <vt:i4>0</vt:i4>
      </vt:variant>
      <vt:variant>
        <vt:i4>5</vt:i4>
      </vt:variant>
      <vt:variant>
        <vt:lpwstr>https://tewhatuora.shinyapps.io/mortality-web-tool/</vt:lpwstr>
      </vt:variant>
      <vt:variant>
        <vt:lpwstr/>
      </vt:variant>
      <vt:variant>
        <vt:i4>5898246</vt:i4>
      </vt:variant>
      <vt:variant>
        <vt:i4>1712</vt:i4>
      </vt:variant>
      <vt:variant>
        <vt:i4>0</vt:i4>
      </vt:variant>
      <vt:variant>
        <vt:i4>5</vt:i4>
      </vt:variant>
      <vt:variant>
        <vt:lpwstr>https://tewhatuora.shinyapps.io/fetal-and-infant-deaths-web-tool/</vt:lpwstr>
      </vt:variant>
      <vt:variant>
        <vt:lpwstr/>
      </vt:variant>
      <vt:variant>
        <vt:i4>7602285</vt:i4>
      </vt:variant>
      <vt:variant>
        <vt:i4>1709</vt:i4>
      </vt:variant>
      <vt:variant>
        <vt:i4>0</vt:i4>
      </vt:variant>
      <vt:variant>
        <vt:i4>5</vt:i4>
      </vt:variant>
      <vt:variant>
        <vt:lpwstr>https://mohgovtnz.sharepoint.com/sites/moh-ecm-FunAnaandIns/Shared Documents/Health and Independence Report/Health and Independence Report 2022/Report/www.tewhatuora.govt.nz/our-health-system/primary-care-sector/primary-health-organisations/enrolment-with-a-general-practice-and-primary-health-organisation</vt:lpwstr>
      </vt:variant>
      <vt:variant>
        <vt:lpwstr/>
      </vt:variant>
      <vt:variant>
        <vt:i4>5767189</vt:i4>
      </vt:variant>
      <vt:variant>
        <vt:i4>1706</vt:i4>
      </vt:variant>
      <vt:variant>
        <vt:i4>0</vt:i4>
      </vt:variant>
      <vt:variant>
        <vt:i4>5</vt:i4>
      </vt:variant>
      <vt:variant>
        <vt:lpwstr>https://tewhatuora.shinyapps.io/covid19/</vt:lpwstr>
      </vt:variant>
      <vt:variant>
        <vt:lpwstr/>
      </vt:variant>
      <vt:variant>
        <vt:i4>1114195</vt:i4>
      </vt:variant>
      <vt:variant>
        <vt:i4>1703</vt:i4>
      </vt:variant>
      <vt:variant>
        <vt:i4>0</vt:i4>
      </vt:variant>
      <vt:variant>
        <vt:i4>5</vt:i4>
      </vt:variant>
      <vt:variant>
        <vt:lpwstr>https://tewhatuora.shinyapps.io/cancer-web-tool/</vt:lpwstr>
      </vt:variant>
      <vt:variant>
        <vt:lpwstr/>
      </vt:variant>
      <vt:variant>
        <vt:i4>5111877</vt:i4>
      </vt:variant>
      <vt:variant>
        <vt:i4>1700</vt:i4>
      </vt:variant>
      <vt:variant>
        <vt:i4>0</vt:i4>
      </vt:variant>
      <vt:variant>
        <vt:i4>5</vt:i4>
      </vt:variant>
      <vt:variant>
        <vt:lpwstr>https://tewhatuora.shinyapps.io/nsu-bsa-coverage/</vt:lpwstr>
      </vt:variant>
      <vt:variant>
        <vt:lpwstr/>
      </vt:variant>
      <vt:variant>
        <vt:i4>5177436</vt:i4>
      </vt:variant>
      <vt:variant>
        <vt:i4>1697</vt:i4>
      </vt:variant>
      <vt:variant>
        <vt:i4>0</vt:i4>
      </vt:variant>
      <vt:variant>
        <vt:i4>5</vt:i4>
      </vt:variant>
      <vt:variant>
        <vt:lpwstr>https://mohgovtnz.sharepoint.com/sites/moh-ecm-FunAnaandIns/Shared Documents/Health and Independence Report/Health and Independence Report 2022/Report/www.tewhatuora.govt.nz/our-health-system/hospitals-and-specialist-services/acute-care</vt:lpwstr>
      </vt:variant>
      <vt:variant>
        <vt:lpwstr/>
      </vt:variant>
      <vt:variant>
        <vt:i4>1835103</vt:i4>
      </vt:variant>
      <vt:variant>
        <vt:i4>1694</vt:i4>
      </vt:variant>
      <vt:variant>
        <vt:i4>0</vt:i4>
      </vt:variant>
      <vt:variant>
        <vt:i4>5</vt:i4>
      </vt:variant>
      <vt:variant>
        <vt:lpwstr>https://mohgovtnz.sharepoint.com/sites/moh-ecm-FunAnaandIns/Shared Documents/Health and Independence Report/Health and Independence Report 2022/Report/www.wellbeingsupport.health.nz/about-access-and-choice</vt:lpwstr>
      </vt:variant>
      <vt:variant>
        <vt:lpwstr/>
      </vt:variant>
      <vt:variant>
        <vt:i4>5505093</vt:i4>
      </vt:variant>
      <vt:variant>
        <vt:i4>1691</vt:i4>
      </vt:variant>
      <vt:variant>
        <vt:i4>0</vt:i4>
      </vt:variant>
      <vt:variant>
        <vt:i4>5</vt:i4>
      </vt:variant>
      <vt:variant>
        <vt:lpwstr>https://tewhatuora.shinyapps.io/suicide-web-tool/</vt:lpwstr>
      </vt:variant>
      <vt:variant>
        <vt:lpwstr/>
      </vt:variant>
      <vt:variant>
        <vt:i4>3014781</vt:i4>
      </vt:variant>
      <vt:variant>
        <vt:i4>1688</vt:i4>
      </vt:variant>
      <vt:variant>
        <vt:i4>0</vt:i4>
      </vt:variant>
      <vt:variant>
        <vt:i4>5</vt:i4>
      </vt:variant>
      <vt:variant>
        <vt:lpwstr>https://reports.hqsc.govt.nz/AHI-explorer/</vt:lpwstr>
      </vt:variant>
      <vt:variant>
        <vt:lpwstr/>
      </vt:variant>
      <vt:variant>
        <vt:i4>3342385</vt:i4>
      </vt:variant>
      <vt:variant>
        <vt:i4>1685</vt:i4>
      </vt:variant>
      <vt:variant>
        <vt:i4>0</vt:i4>
      </vt:variant>
      <vt:variant>
        <vt:i4>5</vt:i4>
      </vt:variant>
      <vt:variant>
        <vt:lpwstr>https://mohgovtnz.sharepoint.com/sites/moh-ecm-FunAnaandIns/Shared Documents/Health and Independence Report/Health and Independence Report 2022/Report/www.hqsc.govt.nz/our-work/mortality-review-committees/perinatal-and-maternal-mortality-review-committee/information-about-deaths-of-babies-and-mothers-in-aotearoa-new-zealand</vt:lpwstr>
      </vt:variant>
      <vt:variant>
        <vt:lpwstr/>
      </vt:variant>
      <vt:variant>
        <vt:i4>3145771</vt:i4>
      </vt:variant>
      <vt:variant>
        <vt:i4>1682</vt:i4>
      </vt:variant>
      <vt:variant>
        <vt:i4>0</vt:i4>
      </vt:variant>
      <vt:variant>
        <vt:i4>5</vt:i4>
      </vt:variant>
      <vt:variant>
        <vt:lpwstr>https://mohgovtnz.sharepoint.com/sites/moh-ecm-FunAnaandIns/Shared Documents/Health and Independence Report/Health and Independence Report 2022/Report/www.hqsc.govt.nz/assets/Our-work/Mortality-review-committee/PMMRC/Publications-resources/15thPMMRC-report-final.pdf</vt:lpwstr>
      </vt:variant>
      <vt:variant>
        <vt:lpwstr/>
      </vt:variant>
      <vt:variant>
        <vt:i4>6094939</vt:i4>
      </vt:variant>
      <vt:variant>
        <vt:i4>1679</vt:i4>
      </vt:variant>
      <vt:variant>
        <vt:i4>0</vt:i4>
      </vt:variant>
      <vt:variant>
        <vt:i4>5</vt:i4>
      </vt:variant>
      <vt:variant>
        <vt:lpwstr>https://mohgovtnz.sharepoint.com/sites/moh-ecm-FunAnaandIns/Shared Documents/Health and Independence Report/Health and Independence Report 2022/Report/www.hqsc.govt.nz/our-data/health-quality-and-safety-indicators/patient-experience</vt:lpwstr>
      </vt:variant>
      <vt:variant>
        <vt:lpwstr/>
      </vt:variant>
      <vt:variant>
        <vt:i4>4980742</vt:i4>
      </vt:variant>
      <vt:variant>
        <vt:i4>1676</vt:i4>
      </vt:variant>
      <vt:variant>
        <vt:i4>0</vt:i4>
      </vt:variant>
      <vt:variant>
        <vt:i4>5</vt:i4>
      </vt:variant>
      <vt:variant>
        <vt:lpwstr>https://teaho.govt.nz/cancer-numbers/cancer-rates</vt:lpwstr>
      </vt:variant>
      <vt:variant>
        <vt:lpwstr/>
      </vt:variant>
      <vt:variant>
        <vt:i4>2687102</vt:i4>
      </vt:variant>
      <vt:variant>
        <vt:i4>1673</vt:i4>
      </vt:variant>
      <vt:variant>
        <vt:i4>0</vt:i4>
      </vt:variant>
      <vt:variant>
        <vt:i4>5</vt:i4>
      </vt:variant>
      <vt:variant>
        <vt:lpwstr>https://teaho.govt.nz/reports/qpi/qpi-lung</vt:lpwstr>
      </vt:variant>
      <vt:variant>
        <vt:lpwstr/>
      </vt:variant>
      <vt:variant>
        <vt:i4>852063</vt:i4>
      </vt:variant>
      <vt:variant>
        <vt:i4>1670</vt:i4>
      </vt:variant>
      <vt:variant>
        <vt:i4>0</vt:i4>
      </vt:variant>
      <vt:variant>
        <vt:i4>5</vt:i4>
      </vt:variant>
      <vt:variant>
        <vt:lpwstr>https://teaho.govt.nz/cancer-numbers</vt:lpwstr>
      </vt:variant>
      <vt:variant>
        <vt:lpwstr/>
      </vt:variant>
      <vt:variant>
        <vt:i4>3211369</vt:i4>
      </vt:variant>
      <vt:variant>
        <vt:i4>1667</vt:i4>
      </vt:variant>
      <vt:variant>
        <vt:i4>0</vt:i4>
      </vt:variant>
      <vt:variant>
        <vt:i4>5</vt:i4>
      </vt:variant>
      <vt:variant>
        <vt:lpwstr>https://teaho.govt.nz/reports/qpi/qpi-bowel</vt:lpwstr>
      </vt:variant>
      <vt:variant>
        <vt:lpwstr/>
      </vt:variant>
      <vt:variant>
        <vt:i4>4784141</vt:i4>
      </vt:variant>
      <vt:variant>
        <vt:i4>1664</vt:i4>
      </vt:variant>
      <vt:variant>
        <vt:i4>0</vt:i4>
      </vt:variant>
      <vt:variant>
        <vt:i4>5</vt:i4>
      </vt:variant>
      <vt:variant>
        <vt:lpwstr>https://teaho.govt.nz/reports/qpi</vt:lpwstr>
      </vt:variant>
      <vt:variant>
        <vt:lpwstr/>
      </vt:variant>
      <vt:variant>
        <vt:i4>2818083</vt:i4>
      </vt:variant>
      <vt:variant>
        <vt:i4>1661</vt:i4>
      </vt:variant>
      <vt:variant>
        <vt:i4>0</vt:i4>
      </vt:variant>
      <vt:variant>
        <vt:i4>5</vt:i4>
      </vt:variant>
      <vt:variant>
        <vt:lpwstr>https://mohgovtnz.sharepoint.com/sites/moh-ecm-FunAnaandIns/Shared Documents/Health and Independence Report/Health and Independence Report 2022/Report/www.stats.govt.nz/news/return-to-net-migration-gains-in-2022</vt:lpwstr>
      </vt:variant>
      <vt:variant>
        <vt:lpwstr/>
      </vt:variant>
      <vt:variant>
        <vt:i4>2556030</vt:i4>
      </vt:variant>
      <vt:variant>
        <vt:i4>1658</vt:i4>
      </vt:variant>
      <vt:variant>
        <vt:i4>0</vt:i4>
      </vt:variant>
      <vt:variant>
        <vt:i4>5</vt:i4>
      </vt:variant>
      <vt:variant>
        <vt:lpwstr>https://mohgovtnz.sharepoint.com/sites/moh-ecm-FunAnaandIns/Shared Documents/Health and Independence Report/Health and Independence Report 2022/Report/www.stats.govt.nz/topics/population</vt:lpwstr>
      </vt:variant>
      <vt:variant>
        <vt:lpwstr/>
      </vt:variant>
      <vt:variant>
        <vt:i4>2359343</vt:i4>
      </vt:variant>
      <vt:variant>
        <vt:i4>1655</vt:i4>
      </vt:variant>
      <vt:variant>
        <vt:i4>0</vt:i4>
      </vt:variant>
      <vt:variant>
        <vt:i4>5</vt:i4>
      </vt:variant>
      <vt:variant>
        <vt:lpwstr>https://mohgovtnz.sharepoint.com/sites/moh-ecm-FunAnaandIns/Shared Documents/Health and Independence Report/Health and Independence Report 2022/Report/www.stats.govt.nz/reports/household-disability-survey-2023-final-content</vt:lpwstr>
      </vt:variant>
      <vt:variant>
        <vt:lpwstr/>
      </vt:variant>
      <vt:variant>
        <vt:i4>4194334</vt:i4>
      </vt:variant>
      <vt:variant>
        <vt:i4>1652</vt:i4>
      </vt:variant>
      <vt:variant>
        <vt:i4>0</vt:i4>
      </vt:variant>
      <vt:variant>
        <vt:i4>5</vt:i4>
      </vt:variant>
      <vt:variant>
        <vt:lpwstr>https://mohgovtnz.sharepoint.com/sites/moh-ecm-FunAnaandIns/Shared Documents/Health and Independence Report/Health and Independence Report 2022/Report/www.stats.govt.nz/news/deaths-increase-by-ten-percent-in-2022</vt:lpwstr>
      </vt:variant>
      <vt:variant>
        <vt:lpwstr/>
      </vt:variant>
      <vt:variant>
        <vt:i4>1048663</vt:i4>
      </vt:variant>
      <vt:variant>
        <vt:i4>1649</vt:i4>
      </vt:variant>
      <vt:variant>
        <vt:i4>0</vt:i4>
      </vt:variant>
      <vt:variant>
        <vt:i4>5</vt:i4>
      </vt:variant>
      <vt:variant>
        <vt:lpwstr>https://mohgovtnz.sharepoint.com/sites/moh-ecm-FunAnaandIns/Shared Documents/Health and Independence Report/Health and Independence Report 2022/Report/www.stats.govt.nz/news/child-poverty-statistics-show-no-annual-change-in-the-year-ended-june-2022</vt:lpwstr>
      </vt:variant>
      <vt:variant>
        <vt:lpwstr/>
      </vt:variant>
      <vt:variant>
        <vt:i4>7274529</vt:i4>
      </vt:variant>
      <vt:variant>
        <vt:i4>1646</vt:i4>
      </vt:variant>
      <vt:variant>
        <vt:i4>0</vt:i4>
      </vt:variant>
      <vt:variant>
        <vt:i4>5</vt:i4>
      </vt:variant>
      <vt:variant>
        <vt:lpwstr>https://mohgovtnz.sharepoint.com/sites/moh-ecm-FunAnaandIns/Shared Documents/Health and Independence Report/Health and Independence Report 2022/Report/www.stats.govt.nz/information-releases/births-and-deaths-year-ended-december-2022-including-abridged-period-life-table</vt:lpwstr>
      </vt:variant>
      <vt:variant>
        <vt:lpwstr/>
      </vt:variant>
      <vt:variant>
        <vt:i4>8060960</vt:i4>
      </vt:variant>
      <vt:variant>
        <vt:i4>1643</vt:i4>
      </vt:variant>
      <vt:variant>
        <vt:i4>0</vt:i4>
      </vt:variant>
      <vt:variant>
        <vt:i4>5</vt:i4>
      </vt:variant>
      <vt:variant>
        <vt:lpwstr>https://mohgovtnz.sharepoint.com/sites/moh-ecm-FunAnaandIns/Shared Documents/Health and Independence Report/Health and Independence Report 2022/Report/www.stats.govt.nz/information-releases/wellbeing-statistics-2021</vt:lpwstr>
      </vt:variant>
      <vt:variant>
        <vt:lpwstr/>
      </vt:variant>
      <vt:variant>
        <vt:i4>917583</vt:i4>
      </vt:variant>
      <vt:variant>
        <vt:i4>1640</vt:i4>
      </vt:variant>
      <vt:variant>
        <vt:i4>0</vt:i4>
      </vt:variant>
      <vt:variant>
        <vt:i4>5</vt:i4>
      </vt:variant>
      <vt:variant>
        <vt:lpwstr>https://mohgovtnz.sharepoint.com/sites/moh-ecm-FunAnaandIns/Shared Documents/Health and Independence Report/Health and Independence Report 2022/Report/www.stats.govt.nz/reports/review-of-health-service-user-population-methodology</vt:lpwstr>
      </vt:variant>
      <vt:variant>
        <vt:lpwstr/>
      </vt:variant>
      <vt:variant>
        <vt:i4>7340133</vt:i4>
      </vt:variant>
      <vt:variant>
        <vt:i4>1637</vt:i4>
      </vt:variant>
      <vt:variant>
        <vt:i4>0</vt:i4>
      </vt:variant>
      <vt:variant>
        <vt:i4>5</vt:i4>
      </vt:variant>
      <vt:variant>
        <vt:lpwstr>https://mohgovtnz.sharepoint.com/sites/moh-ecm-FunAnaandIns/Shared Documents/Health and Independence Report/Health and Independence Report 2022/Report/www.stats.govt.nz/news/persistent-labour-market-gaps-remain-for-disabled-people</vt:lpwstr>
      </vt:variant>
      <vt:variant>
        <vt:lpwstr/>
      </vt:variant>
      <vt:variant>
        <vt:i4>5046344</vt:i4>
      </vt:variant>
      <vt:variant>
        <vt:i4>1634</vt:i4>
      </vt:variant>
      <vt:variant>
        <vt:i4>0</vt:i4>
      </vt:variant>
      <vt:variant>
        <vt:i4>5</vt:i4>
      </vt:variant>
      <vt:variant>
        <vt:lpwstr>https://mohgovtnz.sharepoint.com/sites/moh-ecm-FunAnaandIns/Shared Documents/Health and Independence Report/Health and Independence Report 2022/Report/www.stats.govt.nz/news/one-in-three-children-projected-to-be-maori</vt:lpwstr>
      </vt:variant>
      <vt:variant>
        <vt:lpwstr/>
      </vt:variant>
      <vt:variant>
        <vt:i4>3735653</vt:i4>
      </vt:variant>
      <vt:variant>
        <vt:i4>1631</vt:i4>
      </vt:variant>
      <vt:variant>
        <vt:i4>0</vt:i4>
      </vt:variant>
      <vt:variant>
        <vt:i4>5</vt:i4>
      </vt:variant>
      <vt:variant>
        <vt:lpwstr>https://mohgovtnz.sharepoint.com/sites/moh-ecm-FunAnaandIns/Shared Documents/Health and Independence Report/Health and Independence Report 2022/Report/www.stats.govt.nz/information-releases/national-population-projections-2022base2073</vt:lpwstr>
      </vt:variant>
      <vt:variant>
        <vt:lpwstr/>
      </vt:variant>
      <vt:variant>
        <vt:i4>2228347</vt:i4>
      </vt:variant>
      <vt:variant>
        <vt:i4>1628</vt:i4>
      </vt:variant>
      <vt:variant>
        <vt:i4>0</vt:i4>
      </vt:variant>
      <vt:variant>
        <vt:i4>5</vt:i4>
      </vt:variant>
      <vt:variant>
        <vt:lpwstr>https://mohgovtnz.sharepoint.com/sites/moh-ecm-FunAnaandIns/Shared Documents/Health and Independence Report/Health and Independence Report 2022/Report/www.stats.govt.nz/information-releases/lgbt-plus-population-of-aotearoa-year-ended-june-2021</vt:lpwstr>
      </vt:variant>
      <vt:variant>
        <vt:lpwstr/>
      </vt:variant>
      <vt:variant>
        <vt:i4>6684734</vt:i4>
      </vt:variant>
      <vt:variant>
        <vt:i4>1625</vt:i4>
      </vt:variant>
      <vt:variant>
        <vt:i4>0</vt:i4>
      </vt:variant>
      <vt:variant>
        <vt:i4>5</vt:i4>
      </vt:variant>
      <vt:variant>
        <vt:lpwstr>https://mohgovtnz.sharepoint.com/sites/moh-ecm-FunAnaandIns/Shared Documents/Health and Independence Report/Health and Independence Report 2022/Report/www.stats.govt.nz/infographics/how-we-measure-child-poverty</vt:lpwstr>
      </vt:variant>
      <vt:variant>
        <vt:lpwstr/>
      </vt:variant>
      <vt:variant>
        <vt:i4>7012471</vt:i4>
      </vt:variant>
      <vt:variant>
        <vt:i4>1622</vt:i4>
      </vt:variant>
      <vt:variant>
        <vt:i4>0</vt:i4>
      </vt:variant>
      <vt:variant>
        <vt:i4>5</vt:i4>
      </vt:variant>
      <vt:variant>
        <vt:lpwstr>https://mohgovtnz.sharepoint.com/sites/moh-ecm-FunAnaandIns/Shared Documents/Health and Independence Report/Health and Independence Report 2022/Report/www.stats.govt.nz/reports/wellbeing-statistics-a-year-in-review-june-2020-to-march-2021-quarter</vt:lpwstr>
      </vt:variant>
      <vt:variant>
        <vt:lpwstr/>
      </vt:variant>
      <vt:variant>
        <vt:i4>2883687</vt:i4>
      </vt:variant>
      <vt:variant>
        <vt:i4>1619</vt:i4>
      </vt:variant>
      <vt:variant>
        <vt:i4>0</vt:i4>
      </vt:variant>
      <vt:variant>
        <vt:i4>5</vt:i4>
      </vt:variant>
      <vt:variant>
        <vt:lpwstr>https://mohgovtnz.sharepoint.com/sites/moh-ecm-FunAnaandIns/Shared Documents/Health and Independence Report/Health and Independence Report 2022/Report/www.stats.govt.nz/information-releases/national-ethnic-population-projections-2018base-2043</vt:lpwstr>
      </vt:variant>
      <vt:variant>
        <vt:lpwstr/>
      </vt:variant>
      <vt:variant>
        <vt:i4>4128831</vt:i4>
      </vt:variant>
      <vt:variant>
        <vt:i4>1616</vt:i4>
      </vt:variant>
      <vt:variant>
        <vt:i4>0</vt:i4>
      </vt:variant>
      <vt:variant>
        <vt:i4>5</vt:i4>
      </vt:variant>
      <vt:variant>
        <vt:lpwstr>https://mohgovtnz.sharepoint.com/sites/moh-ecm-FunAnaandIns/Shared Documents/Health and Independence Report/Health and Independence Report 2022/Report/www.stats.govt.nz/information-releases/national-and-subnational-period-life-tables-2017-2019</vt:lpwstr>
      </vt:variant>
      <vt:variant>
        <vt:lpwstr/>
      </vt:variant>
      <vt:variant>
        <vt:i4>4325392</vt:i4>
      </vt:variant>
      <vt:variant>
        <vt:i4>1613</vt:i4>
      </vt:variant>
      <vt:variant>
        <vt:i4>0</vt:i4>
      </vt:variant>
      <vt:variant>
        <vt:i4>5</vt:i4>
      </vt:variant>
      <vt:variant>
        <vt:lpwstr>https://mohgovtnz.sharepoint.com/sites/moh-ecm-FunAnaandIns/Shared Documents/Health and Independence Report/Health and Independence Report 2022/Report/www.stats.govt.nz/news/growth-in-life-expectancy-slows</vt:lpwstr>
      </vt:variant>
      <vt:variant>
        <vt:lpwstr/>
      </vt:variant>
      <vt:variant>
        <vt:i4>3276837</vt:i4>
      </vt:variant>
      <vt:variant>
        <vt:i4>1610</vt:i4>
      </vt:variant>
      <vt:variant>
        <vt:i4>0</vt:i4>
      </vt:variant>
      <vt:variant>
        <vt:i4>5</vt:i4>
      </vt:variant>
      <vt:variant>
        <vt:lpwstr>https://datainfoplus.stats.govt.nz/Item/nz.govt.stats/2ed50ad6-8ab8-47df-883d-210a51b50043</vt:lpwstr>
      </vt:variant>
      <vt:variant>
        <vt:lpwstr/>
      </vt:variant>
      <vt:variant>
        <vt:i4>3407924</vt:i4>
      </vt:variant>
      <vt:variant>
        <vt:i4>1607</vt:i4>
      </vt:variant>
      <vt:variant>
        <vt:i4>0</vt:i4>
      </vt:variant>
      <vt:variant>
        <vt:i4>5</vt:i4>
      </vt:variant>
      <vt:variant>
        <vt:lpwstr>https://mohgovtnz.sharepoint.com/sites/moh-ecm-FunAnaandIns/Shared Documents/Health and Independence Report/Health and Independence Report 2022/Report/www.stats.govt.nz/news/wellbeing-outcomes-worse-for-sole-parents</vt:lpwstr>
      </vt:variant>
      <vt:variant>
        <vt:lpwstr/>
      </vt:variant>
      <vt:variant>
        <vt:i4>7929961</vt:i4>
      </vt:variant>
      <vt:variant>
        <vt:i4>1604</vt:i4>
      </vt:variant>
      <vt:variant>
        <vt:i4>0</vt:i4>
      </vt:variant>
      <vt:variant>
        <vt:i4>5</vt:i4>
      </vt:variant>
      <vt:variant>
        <vt:lpwstr>https://mohgovtnz.sharepoint.com/sites/moh-ecm-FunAnaandIns/Shared Documents/Health and Independence Report/Health and Independence Report 2022/Report/www.stats.govt.nz/infographics/the-state-of-housing-in-aotearoa-new-zealand</vt:lpwstr>
      </vt:variant>
      <vt:variant>
        <vt:lpwstr/>
      </vt:variant>
      <vt:variant>
        <vt:i4>6160410</vt:i4>
      </vt:variant>
      <vt:variant>
        <vt:i4>1601</vt:i4>
      </vt:variant>
      <vt:variant>
        <vt:i4>0</vt:i4>
      </vt:variant>
      <vt:variant>
        <vt:i4>5</vt:i4>
      </vt:variant>
      <vt:variant>
        <vt:lpwstr>https://mohgovtnz.sharepoint.com/sites/moh-ecm-FunAnaandIns/Shared Documents/Health and Independence Report/Health and Independence Report 2022/Report/www.stats.govt.nz/reports/housing-in-aotearoa-2020</vt:lpwstr>
      </vt:variant>
      <vt:variant>
        <vt:lpwstr/>
      </vt:variant>
      <vt:variant>
        <vt:i4>1835100</vt:i4>
      </vt:variant>
      <vt:variant>
        <vt:i4>1598</vt:i4>
      </vt:variant>
      <vt:variant>
        <vt:i4>0</vt:i4>
      </vt:variant>
      <vt:variant>
        <vt:i4>5</vt:i4>
      </vt:variant>
      <vt:variant>
        <vt:lpwstr>https://mohgovtnz.sharepoint.com/sites/moh-ecm-FunAnaandIns/Shared Documents/Health and Independence Report/Health and Independence Report 2022/Report/www.stats.govt.nz/news/disabled-people-fare-worse-in-their-home-economic-and-social-lives</vt:lpwstr>
      </vt:variant>
      <vt:variant>
        <vt:lpwstr/>
      </vt:variant>
      <vt:variant>
        <vt:i4>6029338</vt:i4>
      </vt:variant>
      <vt:variant>
        <vt:i4>1595</vt:i4>
      </vt:variant>
      <vt:variant>
        <vt:i4>0</vt:i4>
      </vt:variant>
      <vt:variant>
        <vt:i4>5</vt:i4>
      </vt:variant>
      <vt:variant>
        <vt:lpwstr>https://mohgovtnz.sharepoint.com/sites/moh-ecm-FunAnaandIns/Shared Documents/Health and Independence Report/Health and Independence Report 2022/Report/www.stats.govt.nz/tools/2018-census-ethnic-group-summaries</vt:lpwstr>
      </vt:variant>
      <vt:variant>
        <vt:lpwstr/>
      </vt:variant>
      <vt:variant>
        <vt:i4>393247</vt:i4>
      </vt:variant>
      <vt:variant>
        <vt:i4>1592</vt:i4>
      </vt:variant>
      <vt:variant>
        <vt:i4>0</vt:i4>
      </vt:variant>
      <vt:variant>
        <vt:i4>5</vt:i4>
      </vt:variant>
      <vt:variant>
        <vt:lpwstr>https://mohgovtnz.sharepoint.com/sites/moh-ecm-FunAnaandIns/Shared Documents/Health and Independence Report/Health and Independence Report 2022/Report/www.stats.govt.nz/information-releases/disability-survey-2013</vt:lpwstr>
      </vt:variant>
      <vt:variant>
        <vt:lpwstr/>
      </vt:variant>
      <vt:variant>
        <vt:i4>4128886</vt:i4>
      </vt:variant>
      <vt:variant>
        <vt:i4>1589</vt:i4>
      </vt:variant>
      <vt:variant>
        <vt:i4>0</vt:i4>
      </vt:variant>
      <vt:variant>
        <vt:i4>5</vt:i4>
      </vt:variant>
      <vt:variant>
        <vt:lpwstr>https://www3.stats.govt.nz/New_Zealand_Official_Yearbooks/1936/NZOYB_1936.html</vt:lpwstr>
      </vt:variant>
      <vt:variant>
        <vt:lpwstr>idsect1_1_39354</vt:lpwstr>
      </vt:variant>
      <vt:variant>
        <vt:i4>1638487</vt:i4>
      </vt:variant>
      <vt:variant>
        <vt:i4>1586</vt:i4>
      </vt:variant>
      <vt:variant>
        <vt:i4>0</vt:i4>
      </vt:variant>
      <vt:variant>
        <vt:i4>5</vt:i4>
      </vt:variant>
      <vt:variant>
        <vt:lpwstr>https://mohgovtnz.sharepoint.com/sites/moh-ecm-FunAnaandIns/Shared Documents/Health and Independence Report/Health and Independence Report 2022/Report/www.policycommons.ac.nz/covid-19-policy-resources/covid-19-timeline/covid-19-timeline-2022</vt:lpwstr>
      </vt:variant>
      <vt:variant>
        <vt:lpwstr/>
      </vt:variant>
      <vt:variant>
        <vt:i4>6291461</vt:i4>
      </vt:variant>
      <vt:variant>
        <vt:i4>1583</vt:i4>
      </vt:variant>
      <vt:variant>
        <vt:i4>0</vt:i4>
      </vt:variant>
      <vt:variant>
        <vt:i4>5</vt:i4>
      </vt:variant>
      <vt:variant>
        <vt:lpwstr>https://assets-global.website-files.com/63b7328effdfd4238ae0d82b/6477d04a93cbb8fad11d4a24_NWA12_1_Ethnic and Gender Identity FINAL PDF v2.pdf</vt:lpwstr>
      </vt:variant>
      <vt:variant>
        <vt:lpwstr/>
      </vt:variant>
      <vt:variant>
        <vt:i4>7340077</vt:i4>
      </vt:variant>
      <vt:variant>
        <vt:i4>1580</vt:i4>
      </vt:variant>
      <vt:variant>
        <vt:i4>0</vt:i4>
      </vt:variant>
      <vt:variant>
        <vt:i4>5</vt:i4>
      </vt:variant>
      <vt:variant>
        <vt:lpwstr>https://nsfl.health.govt.nz/accountability/performance-and-monitoring/data-quarterly-reports-and-reporting/ambulatory-sensitive</vt:lpwstr>
      </vt:variant>
      <vt:variant>
        <vt:lpwstr/>
      </vt:variant>
      <vt:variant>
        <vt:i4>6029337</vt:i4>
      </vt:variant>
      <vt:variant>
        <vt:i4>1577</vt:i4>
      </vt:variant>
      <vt:variant>
        <vt:i4>0</vt:i4>
      </vt:variant>
      <vt:variant>
        <vt:i4>5</vt:i4>
      </vt:variant>
      <vt:variant>
        <vt:lpwstr>https://nsfl.health.govt.nz/accountability/performance-and-monitoring/data-quarterly-reports-and-reporting/inpatient-average</vt:lpwstr>
      </vt:variant>
      <vt:variant>
        <vt:lpwstr/>
      </vt:variant>
      <vt:variant>
        <vt:i4>6684726</vt:i4>
      </vt:variant>
      <vt:variant>
        <vt:i4>1574</vt:i4>
      </vt:variant>
      <vt:variant>
        <vt:i4>0</vt:i4>
      </vt:variant>
      <vt:variant>
        <vt:i4>5</vt:i4>
      </vt:variant>
      <vt:variant>
        <vt:lpwstr>https://mohgovtnz.sharepoint.com/sites/moh-ecm-FunAnaandIns/Shared Documents/Health and Independence Report/Health and Independence Report 2022/Report/www.nsu.govt.nz/health-professionals/national-bowel-screening-programme</vt:lpwstr>
      </vt:variant>
      <vt:variant>
        <vt:lpwstr/>
      </vt:variant>
      <vt:variant>
        <vt:i4>1441877</vt:i4>
      </vt:variant>
      <vt:variant>
        <vt:i4>1571</vt:i4>
      </vt:variant>
      <vt:variant>
        <vt:i4>0</vt:i4>
      </vt:variant>
      <vt:variant>
        <vt:i4>5</vt:i4>
      </vt:variant>
      <vt:variant>
        <vt:lpwstr>https://mohgovtnz.sharepoint.com/sites/moh-ecm-FunAnaandIns/Shared Documents/Health and Independence Report/Health and Independence Report 2022/Report/www.nsu.govt.nz/health-professionals/national-cervical-screening-programme</vt:lpwstr>
      </vt:variant>
      <vt:variant>
        <vt:lpwstr/>
      </vt:variant>
      <vt:variant>
        <vt:i4>917599</vt:i4>
      </vt:variant>
      <vt:variant>
        <vt:i4>1568</vt:i4>
      </vt:variant>
      <vt:variant>
        <vt:i4>0</vt:i4>
      </vt:variant>
      <vt:variant>
        <vt:i4>5</vt:i4>
      </vt:variant>
      <vt:variant>
        <vt:lpwstr>https://mohgovtnz.sharepoint.com/sites/moh-ecm-FunAnaandIns/Shared Documents/Health and Independence Report/Health and Independence Report 2022/Report/www.nsu.govt.nz/health-professionals/breastscreen-aotearoa</vt:lpwstr>
      </vt:variant>
      <vt:variant>
        <vt:lpwstr/>
      </vt:variant>
      <vt:variant>
        <vt:i4>6684731</vt:i4>
      </vt:variant>
      <vt:variant>
        <vt:i4>1565</vt:i4>
      </vt:variant>
      <vt:variant>
        <vt:i4>0</vt:i4>
      </vt:variant>
      <vt:variant>
        <vt:i4>5</vt:i4>
      </vt:variant>
      <vt:variant>
        <vt:lpwstr>https://mohgovtnz.sharepoint.com/sites/moh-ecm-FunAnaandIns/Shared Documents/Health and Independence Report/Health and Independence Report 2022/Report/www.health.govt.nz/our-work/diseases-and-conditions/obesity</vt:lpwstr>
      </vt:variant>
      <vt:variant>
        <vt:lpwstr/>
      </vt:variant>
      <vt:variant>
        <vt:i4>3080290</vt:i4>
      </vt:variant>
      <vt:variant>
        <vt:i4>1562</vt:i4>
      </vt:variant>
      <vt:variant>
        <vt:i4>0</vt:i4>
      </vt:variant>
      <vt:variant>
        <vt:i4>5</vt:i4>
      </vt:variant>
      <vt:variant>
        <vt:lpwstr>https://mohgovtnz.sharepoint.com/sites/moh-ecm-FunAnaandIns/Shared Documents/Health and Independence Report/Health and Independence Report 2022/Report/www.health.govt.nz/nz-health-statistics/national-collections-and-surveys/surveys/new-zealand-health-survey</vt:lpwstr>
      </vt:variant>
      <vt:variant>
        <vt:lpwstr/>
      </vt:variant>
      <vt:variant>
        <vt:i4>5505045</vt:i4>
      </vt:variant>
      <vt:variant>
        <vt:i4>1559</vt:i4>
      </vt:variant>
      <vt:variant>
        <vt:i4>0</vt:i4>
      </vt:variant>
      <vt:variant>
        <vt:i4>5</vt:i4>
      </vt:variant>
      <vt:variant>
        <vt:lpwstr>https://mohgovtnz.sharepoint.com/sites/moh-ecm-FunAnaandIns/Shared Documents/Health and Independence Report/Health and Independence Report 2022/Report/www.health.govt.nz/our-work/preventative-health-wellness/screening/national-bowel-screening-programme</vt:lpwstr>
      </vt:variant>
      <vt:variant>
        <vt:lpwstr/>
      </vt:variant>
      <vt:variant>
        <vt:i4>6291501</vt:i4>
      </vt:variant>
      <vt:variant>
        <vt:i4>1556</vt:i4>
      </vt:variant>
      <vt:variant>
        <vt:i4>0</vt:i4>
      </vt:variant>
      <vt:variant>
        <vt:i4>5</vt:i4>
      </vt:variant>
      <vt:variant>
        <vt:lpwstr>https://mohgovtnz.sharepoint.com/sites/moh-ecm-FunAnaandIns/Shared Documents/Health and Independence Report/Health and Independence Report 2022/Report/www.health.govt.nz/our-work/preventative-health-wellness/immunisation/immunisation-coverage/national-and-regional-immunisation-data</vt:lpwstr>
      </vt:variant>
      <vt:variant>
        <vt:lpwstr/>
      </vt:variant>
      <vt:variant>
        <vt:i4>5767242</vt:i4>
      </vt:variant>
      <vt:variant>
        <vt:i4>1553</vt:i4>
      </vt:variant>
      <vt:variant>
        <vt:i4>0</vt:i4>
      </vt:variant>
      <vt:variant>
        <vt:i4>5</vt:i4>
      </vt:variant>
      <vt:variant>
        <vt:lpwstr>https://mohgovtnz.sharepoint.com/sites/moh-ecm-FunAnaandIns/Shared Documents/Health and Independence Report/Health and Independence Report 2022/Report/www.health.govt.nz/your-health/healthy-living/immunisation</vt:lpwstr>
      </vt:variant>
      <vt:variant>
        <vt:lpwstr/>
      </vt:variant>
      <vt:variant>
        <vt:i4>4063284</vt:i4>
      </vt:variant>
      <vt:variant>
        <vt:i4>1550</vt:i4>
      </vt:variant>
      <vt:variant>
        <vt:i4>0</vt:i4>
      </vt:variant>
      <vt:variant>
        <vt:i4>5</vt:i4>
      </vt:variant>
      <vt:variant>
        <vt:lpwstr>https://mohgovtnz.sharepoint.com/sites/moh-ecm-FunAnaandIns/Shared Documents/Health and Independence Report/Health and Independence Report 2022/Report/www.health.govt.nz/our-work/preventative-health-wellness/immunisation/hpv-immunisation-programme</vt:lpwstr>
      </vt:variant>
      <vt:variant>
        <vt:lpwstr/>
      </vt:variant>
      <vt:variant>
        <vt:i4>2228287</vt:i4>
      </vt:variant>
      <vt:variant>
        <vt:i4>1547</vt:i4>
      </vt:variant>
      <vt:variant>
        <vt:i4>0</vt:i4>
      </vt:variant>
      <vt:variant>
        <vt:i4>5</vt:i4>
      </vt:variant>
      <vt:variant>
        <vt:lpwstr>https://mohgovtnz.sharepoint.com/sites/moh-ecm-FunAnaandIns/Shared Documents/Health and Independence Report/Health and Independence Report 2022/Report/www.health.govt.nz/covid-19-novel-coronavirus/covid-19-vaccines</vt:lpwstr>
      </vt:variant>
      <vt:variant>
        <vt:lpwstr/>
      </vt:variant>
      <vt:variant>
        <vt:i4>7995430</vt:i4>
      </vt:variant>
      <vt:variant>
        <vt:i4>1544</vt:i4>
      </vt:variant>
      <vt:variant>
        <vt:i4>0</vt:i4>
      </vt:variant>
      <vt:variant>
        <vt:i4>5</vt:i4>
      </vt:variant>
      <vt:variant>
        <vt:lpwstr>https://mohgovtnz.sharepoint.com/sites/moh-ecm-FunAnaandIns/Shared Documents/Health and Independence Report/Health and Independence Report 2022/Report/www.healthnavigator.org.nz/medicines/c/covid-19-vaccine-booster</vt:lpwstr>
      </vt:variant>
      <vt:variant>
        <vt:lpwstr/>
      </vt:variant>
      <vt:variant>
        <vt:i4>1245215</vt:i4>
      </vt:variant>
      <vt:variant>
        <vt:i4>1541</vt:i4>
      </vt:variant>
      <vt:variant>
        <vt:i4>0</vt:i4>
      </vt:variant>
      <vt:variant>
        <vt:i4>5</vt:i4>
      </vt:variant>
      <vt:variant>
        <vt:lpwstr>https://mohgovtnz.sharepoint.com/sites/moh-ecm-FunAnaandIns/Shared Documents/Health and Independence Report/Health and Independence Report 2022/Report/www.health.govt.nz/publication/covid-19-risk-among-disabled-people</vt:lpwstr>
      </vt:variant>
      <vt:variant>
        <vt:lpwstr/>
      </vt:variant>
      <vt:variant>
        <vt:i4>5177348</vt:i4>
      </vt:variant>
      <vt:variant>
        <vt:i4>1538</vt:i4>
      </vt:variant>
      <vt:variant>
        <vt:i4>0</vt:i4>
      </vt:variant>
      <vt:variant>
        <vt:i4>5</vt:i4>
      </vt:variant>
      <vt:variant>
        <vt:lpwstr>https://mohgovtnz.sharepoint.com/sites/moh-ecm-FunAnaandIns/Shared Documents/Health and Independence Report/Health and Independence Report 2022/Report/www.health.govt.nz/our-work/populations/maori-health/ao-mai-te-ra-anti-racism-kaupapa</vt:lpwstr>
      </vt:variant>
      <vt:variant>
        <vt:lpwstr/>
      </vt:variant>
      <vt:variant>
        <vt:i4>3670125</vt:i4>
      </vt:variant>
      <vt:variant>
        <vt:i4>1535</vt:i4>
      </vt:variant>
      <vt:variant>
        <vt:i4>0</vt:i4>
      </vt:variant>
      <vt:variant>
        <vt:i4>5</vt:i4>
      </vt:variant>
      <vt:variant>
        <vt:lpwstr>https://minhealthnz.shinyapps.io/nz-health-survey-2021-22-annual-data-explorer/</vt:lpwstr>
      </vt:variant>
      <vt:variant>
        <vt:lpwstr/>
      </vt:variant>
      <vt:variant>
        <vt:i4>3801132</vt:i4>
      </vt:variant>
      <vt:variant>
        <vt:i4>1532</vt:i4>
      </vt:variant>
      <vt:variant>
        <vt:i4>0</vt:i4>
      </vt:variant>
      <vt:variant>
        <vt:i4>5</vt:i4>
      </vt:variant>
      <vt:variant>
        <vt:lpwstr>https://mohgovtnz.sharepoint.com/sites/moh-ecm-FunAnaandIns/Shared Documents/Health and Independence Report/Health and Independence Report 2022/Report/www.health.govt.nz/publication/response-stats-nz-recommendations-health-service-user-dataset</vt:lpwstr>
      </vt:variant>
      <vt:variant>
        <vt:lpwstr/>
      </vt:variant>
      <vt:variant>
        <vt:i4>2621482</vt:i4>
      </vt:variant>
      <vt:variant>
        <vt:i4>1529</vt:i4>
      </vt:variant>
      <vt:variant>
        <vt:i4>0</vt:i4>
      </vt:variant>
      <vt:variant>
        <vt:i4>5</vt:i4>
      </vt:variant>
      <vt:variant>
        <vt:lpwstr>https://mohgovtnz.sharepoint.com/sites/moh-ecm-FunAnaandIns/Shared Documents/Health and Independence Report/Health and Independence Report 2022/Report/www.health.govt.nz/publication/questionnaires-and-content-guide-2021-22-new-zealand-health-surve</vt:lpwstr>
      </vt:variant>
      <vt:variant>
        <vt:lpwstr/>
      </vt:variant>
      <vt:variant>
        <vt:i4>1441824</vt:i4>
      </vt:variant>
      <vt:variant>
        <vt:i4>1526</vt:i4>
      </vt:variant>
      <vt:variant>
        <vt:i4>0</vt:i4>
      </vt:variant>
      <vt:variant>
        <vt:i4>5</vt:i4>
      </vt:variant>
      <vt:variant>
        <vt:lpwstr>https://mohgovtnz.sharepoint.com/sites/moh-ecm-FunAnaandIns/Shared Documents/Health and Independence Report/Health and Independence Report 2022/Report/www.health.govt.nz/system/files/documents/publications/obesity_in_2021-22_16nov.pdf</vt:lpwstr>
      </vt:variant>
      <vt:variant>
        <vt:lpwstr/>
      </vt:variant>
      <vt:variant>
        <vt:i4>1769477</vt:i4>
      </vt:variant>
      <vt:variant>
        <vt:i4>1523</vt:i4>
      </vt:variant>
      <vt:variant>
        <vt:i4>0</vt:i4>
      </vt:variant>
      <vt:variant>
        <vt:i4>5</vt:i4>
      </vt:variant>
      <vt:variant>
        <vt:lpwstr>https://mohgovtnz.sharepoint.com/sites/moh-ecm-FunAnaandIns/Shared Documents/Health and Independence Report/Health and Independence Report 2022/Report/www.health.govt.nz/new-zealand-health-system/new-health-and-disability-system</vt:lpwstr>
      </vt:variant>
      <vt:variant>
        <vt:lpwstr/>
      </vt:variant>
      <vt:variant>
        <vt:i4>196712</vt:i4>
      </vt:variant>
      <vt:variant>
        <vt:i4>1520</vt:i4>
      </vt:variant>
      <vt:variant>
        <vt:i4>0</vt:i4>
      </vt:variant>
      <vt:variant>
        <vt:i4>5</vt:i4>
      </vt:variant>
      <vt:variant>
        <vt:lpwstr>https://mohgovtnz.sharepoint.com/sites/moh-ecm-FunAnaandIns/Shared Documents/Health and Independence Report/Health and Independence Report 2022/Report/www.health.govt.nz/system/files/documents/publications/methodology_report_2021_22-_new_zealand_health_survey_11_nov.pdf</vt:lpwstr>
      </vt:variant>
      <vt:variant>
        <vt:lpwstr/>
      </vt:variant>
      <vt:variant>
        <vt:i4>8323182</vt:i4>
      </vt:variant>
      <vt:variant>
        <vt:i4>1517</vt:i4>
      </vt:variant>
      <vt:variant>
        <vt:i4>0</vt:i4>
      </vt:variant>
      <vt:variant>
        <vt:i4>5</vt:i4>
      </vt:variant>
      <vt:variant>
        <vt:lpwstr>https://mohgovtnz.sharepoint.com/sites/moh-ecm-FunAnaandIns/Shared Documents/Health and Independence Report/Health and Independence Report 2022/Report/www.health.govt.nz/new-zealand-health-system/setting-direction-our-new-health-system/health-strategies-all-new-zealanders</vt:lpwstr>
      </vt:variant>
      <vt:variant>
        <vt:lpwstr/>
      </vt:variant>
      <vt:variant>
        <vt:i4>4063344</vt:i4>
      </vt:variant>
      <vt:variant>
        <vt:i4>1514</vt:i4>
      </vt:variant>
      <vt:variant>
        <vt:i4>0</vt:i4>
      </vt:variant>
      <vt:variant>
        <vt:i4>5</vt:i4>
      </vt:variant>
      <vt:variant>
        <vt:lpwstr>https://mohgovtnz.sharepoint.com/sites/moh-ecm-FunAnaandIns/Shared Documents/Health and Independence Report/Health and Independence Report 2022/Report/www.health.govt.nz/system/files/documents/publications/further-information-about-the-hsu-dataset-and-review-4aug22.pdf</vt:lpwstr>
      </vt:variant>
      <vt:variant>
        <vt:lpwstr/>
      </vt:variant>
      <vt:variant>
        <vt:i4>6291580</vt:i4>
      </vt:variant>
      <vt:variant>
        <vt:i4>1511</vt:i4>
      </vt:variant>
      <vt:variant>
        <vt:i4>0</vt:i4>
      </vt:variant>
      <vt:variant>
        <vt:i4>5</vt:i4>
      </vt:variant>
      <vt:variant>
        <vt:lpwstr>https://mohgovtnz.sharepoint.com/sites/moh-ecm-FunAnaandIns/Shared Documents/Health and Independence Report/Health and Independence Report 2022/Report/www.health.govt.nz/covid-19-novel-coronavirus/covid-19-data-and-statistics/covid-19-vaccine-data</vt:lpwstr>
      </vt:variant>
      <vt:variant>
        <vt:lpwstr/>
      </vt:variant>
      <vt:variant>
        <vt:i4>8126574</vt:i4>
      </vt:variant>
      <vt:variant>
        <vt:i4>1508</vt:i4>
      </vt:variant>
      <vt:variant>
        <vt:i4>0</vt:i4>
      </vt:variant>
      <vt:variant>
        <vt:i4>5</vt:i4>
      </vt:variant>
      <vt:variant>
        <vt:lpwstr>https://mohgovtnz.sharepoint.com/sites/moh-ecm-FunAnaandIns/Shared Documents/Health and Independence Report/Health and Independence Report 2022/Report/www.health.govt.nz/covid-19-novel-coronavirus/covid-19-health-advice-public/about-covid-19/covid-19-variants</vt:lpwstr>
      </vt:variant>
      <vt:variant>
        <vt:lpwstr/>
      </vt:variant>
      <vt:variant>
        <vt:i4>5374041</vt:i4>
      </vt:variant>
      <vt:variant>
        <vt:i4>1505</vt:i4>
      </vt:variant>
      <vt:variant>
        <vt:i4>0</vt:i4>
      </vt:variant>
      <vt:variant>
        <vt:i4>5</vt:i4>
      </vt:variant>
      <vt:variant>
        <vt:lpwstr>https://mohgovtnz.sharepoint.com/sites/moh-ecm-FunAnaandIns/Shared Documents/Health and Independence Report/Health and Independence Report 2022/Report/www.health.govt.nz/system/files/documents/pages/trends-and-insights-report-4nov22.pdf</vt:lpwstr>
      </vt:variant>
      <vt:variant>
        <vt:lpwstr/>
      </vt:variant>
      <vt:variant>
        <vt:i4>5570624</vt:i4>
      </vt:variant>
      <vt:variant>
        <vt:i4>1502</vt:i4>
      </vt:variant>
      <vt:variant>
        <vt:i4>0</vt:i4>
      </vt:variant>
      <vt:variant>
        <vt:i4>5</vt:i4>
      </vt:variant>
      <vt:variant>
        <vt:lpwstr>https://mohgovtnz.sharepoint.com/sites/moh-ecm-FunAnaandIns/Shared Documents/Health and Independence Report/Health and Independence Report 2022/Report/www.health.govt.nz/publication/covid-19-mortality-aotearoa-new-zealand-inequities-risk</vt:lpwstr>
      </vt:variant>
      <vt:variant>
        <vt:lpwstr/>
      </vt:variant>
      <vt:variant>
        <vt:i4>7602235</vt:i4>
      </vt:variant>
      <vt:variant>
        <vt:i4>1499</vt:i4>
      </vt:variant>
      <vt:variant>
        <vt:i4>0</vt:i4>
      </vt:variant>
      <vt:variant>
        <vt:i4>5</vt:i4>
      </vt:variant>
      <vt:variant>
        <vt:lpwstr>https://mohgovtnz.sharepoint.com/sites/moh-ecm-FunAnaandIns/Shared Documents/Health and Independence Report/Health and Independence Report 2022/Report/www.health.govt.nz/your-health/healthy-living/addictions/alcohol-and-drug-abuse/alcohol</vt:lpwstr>
      </vt:variant>
      <vt:variant>
        <vt:lpwstr/>
      </vt:variant>
      <vt:variant>
        <vt:i4>3342376</vt:i4>
      </vt:variant>
      <vt:variant>
        <vt:i4>1496</vt:i4>
      </vt:variant>
      <vt:variant>
        <vt:i4>0</vt:i4>
      </vt:variant>
      <vt:variant>
        <vt:i4>5</vt:i4>
      </vt:variant>
      <vt:variant>
        <vt:lpwstr>https://mohgovtnz.sharepoint.com/sites/moh-ecm-FunAnaandIns/Shared Documents/Health and Independence Report/Health and Independence Report 2022/Report/www.health.govt.nz/nz-health-statistics/health-statistics-and-data-sets/oral-health-data-and-stats/age-5-and-year-8-oral-health-data-community-oral-health-service</vt:lpwstr>
      </vt:variant>
      <vt:variant>
        <vt:lpwstr/>
      </vt:variant>
      <vt:variant>
        <vt:i4>6553716</vt:i4>
      </vt:variant>
      <vt:variant>
        <vt:i4>1493</vt:i4>
      </vt:variant>
      <vt:variant>
        <vt:i4>0</vt:i4>
      </vt:variant>
      <vt:variant>
        <vt:i4>5</vt:i4>
      </vt:variant>
      <vt:variant>
        <vt:lpwstr>https://mohgovtnz.sharepoint.com/sites/moh-ecm-FunAnaandIns/Shared Documents/Health and Independence Report/Health and Independence Report 2022/Report/www.health.govt.nz/publication/smokefree-aotearoa-2025-action-plan-auahi-kore-aotearoa-mahere-rautaki-2025</vt:lpwstr>
      </vt:variant>
      <vt:variant>
        <vt:lpwstr/>
      </vt:variant>
      <vt:variant>
        <vt:i4>4063333</vt:i4>
      </vt:variant>
      <vt:variant>
        <vt:i4>1490</vt:i4>
      </vt:variant>
      <vt:variant>
        <vt:i4>0</vt:i4>
      </vt:variant>
      <vt:variant>
        <vt:i4>5</vt:i4>
      </vt:variant>
      <vt:variant>
        <vt:lpwstr>https://mohgovtnz.sharepoint.com/sites/moh-ecm-FunAnaandIns/Shared Documents/Health and Independence Report/Health and Independence Report 2022/Report/www.health.govt.nz/our-work/diseases-and-conditions/covid-19-novel-coronavirus/covid-19-health-advice-public/long-covid</vt:lpwstr>
      </vt:variant>
      <vt:variant>
        <vt:lpwstr/>
      </vt:variant>
      <vt:variant>
        <vt:i4>7602293</vt:i4>
      </vt:variant>
      <vt:variant>
        <vt:i4>1487</vt:i4>
      </vt:variant>
      <vt:variant>
        <vt:i4>0</vt:i4>
      </vt:variant>
      <vt:variant>
        <vt:i4>5</vt:i4>
      </vt:variant>
      <vt:variant>
        <vt:lpwstr>https://mohgovtnz.sharepoint.com/sites/moh-ecm-FunAnaandIns/Shared Documents/Health and Independence Report/Health and Independence Report 2022/Report/www.health.govt.nz/publication/kia-manawanui-aotearoa-long-term-pathway-mental-wellbeing</vt:lpwstr>
      </vt:variant>
      <vt:variant>
        <vt:lpwstr/>
      </vt:variant>
      <vt:variant>
        <vt:i4>4915203</vt:i4>
      </vt:variant>
      <vt:variant>
        <vt:i4>1484</vt:i4>
      </vt:variant>
      <vt:variant>
        <vt:i4>0</vt:i4>
      </vt:variant>
      <vt:variant>
        <vt:i4>5</vt:i4>
      </vt:variant>
      <vt:variant>
        <vt:lpwstr>https://mohgovtnz.sharepoint.com/sites/moh-ecm-FunAnaandIns/Shared Documents/Health and Independence Report/Health and Independence Report 2022/Report/www.health.govt.nz/our-work/populations/maori-health/whakamaua-maori-health-action-plan-2020-2025</vt:lpwstr>
      </vt:variant>
      <vt:variant>
        <vt:lpwstr/>
      </vt:variant>
      <vt:variant>
        <vt:i4>7078005</vt:i4>
      </vt:variant>
      <vt:variant>
        <vt:i4>1481</vt:i4>
      </vt:variant>
      <vt:variant>
        <vt:i4>0</vt:i4>
      </vt:variant>
      <vt:variant>
        <vt:i4>5</vt:i4>
      </vt:variant>
      <vt:variant>
        <vt:lpwstr>https://mohgovtnz.sharepoint.com/sites/moh-ecm-FunAnaandIns/Shared Documents/Health and Independence Report/Health and Independence Report 2022/Report/www.health.govt.nz/publication/longer-healthier-lives-new-zealands-health-1990-2017</vt:lpwstr>
      </vt:variant>
      <vt:variant>
        <vt:lpwstr/>
      </vt:variant>
      <vt:variant>
        <vt:i4>5767259</vt:i4>
      </vt:variant>
      <vt:variant>
        <vt:i4>1478</vt:i4>
      </vt:variant>
      <vt:variant>
        <vt:i4>0</vt:i4>
      </vt:variant>
      <vt:variant>
        <vt:i4>5</vt:i4>
      </vt:variant>
      <vt:variant>
        <vt:lpwstr>https://mohgovtnz.sharepoint.com/sites/moh-ecm-FunAnaandIns/Shared Documents/Health and Independence Report/Health and Independence Report 2022/Report/www.health.govt.nz/our-work/immunisation-handbook-2020/5-coronavirus-disease-covid-19</vt:lpwstr>
      </vt:variant>
      <vt:variant>
        <vt:lpwstr>23-5</vt:lpwstr>
      </vt:variant>
      <vt:variant>
        <vt:i4>2556026</vt:i4>
      </vt:variant>
      <vt:variant>
        <vt:i4>1475</vt:i4>
      </vt:variant>
      <vt:variant>
        <vt:i4>0</vt:i4>
      </vt:variant>
      <vt:variant>
        <vt:i4>5</vt:i4>
      </vt:variant>
      <vt:variant>
        <vt:lpwstr>https://mohgovtnz.sharepoint.com/sites/moh-ecm-FunAnaandIns/Shared Documents/Health and Independence Report/Health and Independence Report 2022/Report/www.health.govt.nz/publication/eating-and-activity-guidelines-new-zealand-adults</vt:lpwstr>
      </vt:variant>
      <vt:variant>
        <vt:lpwstr/>
      </vt:variant>
      <vt:variant>
        <vt:i4>3801128</vt:i4>
      </vt:variant>
      <vt:variant>
        <vt:i4>1472</vt:i4>
      </vt:variant>
      <vt:variant>
        <vt:i4>0</vt:i4>
      </vt:variant>
      <vt:variant>
        <vt:i4>5</vt:i4>
      </vt:variant>
      <vt:variant>
        <vt:lpwstr>https://mohgovtnz.sharepoint.com/sites/moh-ecm-FunAnaandIns/Shared Documents/Health and Independence Report/Health and Independence Report 2022/Report/www.health.govt.nz/system/files/documents/publications/household-food-insecurity-among-children-new-zealand-health-survey-summary-of-findings-jun19.pdf</vt:lpwstr>
      </vt:variant>
      <vt:variant>
        <vt:lpwstr/>
      </vt:variant>
      <vt:variant>
        <vt:i4>2556007</vt:i4>
      </vt:variant>
      <vt:variant>
        <vt:i4>1469</vt:i4>
      </vt:variant>
      <vt:variant>
        <vt:i4>0</vt:i4>
      </vt:variant>
      <vt:variant>
        <vt:i4>5</vt:i4>
      </vt:variant>
      <vt:variant>
        <vt:lpwstr>https://mohgovtnz.sharepoint.com/sites/moh-ecm-FunAnaandIns/Shared Documents/Health and Independence Report/Health and Independence Report 2022/Report/www.health.govt.nz/publication/fetal-and-infant-deaths-2016</vt:lpwstr>
      </vt:variant>
      <vt:variant>
        <vt:lpwstr/>
      </vt:variant>
      <vt:variant>
        <vt:i4>6619178</vt:i4>
      </vt:variant>
      <vt:variant>
        <vt:i4>1466</vt:i4>
      </vt:variant>
      <vt:variant>
        <vt:i4>0</vt:i4>
      </vt:variant>
      <vt:variant>
        <vt:i4>5</vt:i4>
      </vt:variant>
      <vt:variant>
        <vt:lpwstr>https://mohgovtnz.sharepoint.com/sites/moh-ecm-FunAnaandIns/Shared Documents/Health and Independence Report/Health and Independence Report 2022/Report/www.health.govt.nz/system/files/documents/publications/achieving-equity-in-health-outcomes-summary-of-a-discovery-process-30jul2019.pdf</vt:lpwstr>
      </vt:variant>
      <vt:variant>
        <vt:lpwstr/>
      </vt:variant>
      <vt:variant>
        <vt:i4>6750249</vt:i4>
      </vt:variant>
      <vt:variant>
        <vt:i4>1463</vt:i4>
      </vt:variant>
      <vt:variant>
        <vt:i4>0</vt:i4>
      </vt:variant>
      <vt:variant>
        <vt:i4>5</vt:i4>
      </vt:variant>
      <vt:variant>
        <vt:lpwstr>https://mohgovtnz.sharepoint.com/sites/moh-ecm-FunAnaandIns/Shared Documents/Health and Independence Report/Health and Independence Report 2022/Report/www.moh.govt.nz/notebook/nbbooks.nsf/0/569DDB6A56F7E726CC2581FC00665BEB/$file/hiso-10001-2017-ethnicity-data-protocols.pdf</vt:lpwstr>
      </vt:variant>
      <vt:variant>
        <vt:lpwstr/>
      </vt:variant>
      <vt:variant>
        <vt:i4>3735665</vt:i4>
      </vt:variant>
      <vt:variant>
        <vt:i4>1460</vt:i4>
      </vt:variant>
      <vt:variant>
        <vt:i4>0</vt:i4>
      </vt:variant>
      <vt:variant>
        <vt:i4>5</vt:i4>
      </vt:variant>
      <vt:variant>
        <vt:lpwstr>https://github.com/dkobak/excess-mortality</vt:lpwstr>
      </vt:variant>
      <vt:variant>
        <vt:lpwstr/>
      </vt:variant>
      <vt:variant>
        <vt:i4>2949244</vt:i4>
      </vt:variant>
      <vt:variant>
        <vt:i4>1457</vt:i4>
      </vt:variant>
      <vt:variant>
        <vt:i4>0</vt:i4>
      </vt:variant>
      <vt:variant>
        <vt:i4>5</vt:i4>
      </vt:variant>
      <vt:variant>
        <vt:lpwstr>https://ghdx.healthdata.org/record/ihme-data/gbd-2019-life-tables-1950-2019</vt:lpwstr>
      </vt:variant>
      <vt:variant>
        <vt:lpwstr/>
      </vt:variant>
      <vt:variant>
        <vt:i4>6815843</vt:i4>
      </vt:variant>
      <vt:variant>
        <vt:i4>1454</vt:i4>
      </vt:variant>
      <vt:variant>
        <vt:i4>0</vt:i4>
      </vt:variant>
      <vt:variant>
        <vt:i4>5</vt:i4>
      </vt:variant>
      <vt:variant>
        <vt:lpwstr>https://vizhub.healthdata.org/gbd-results/</vt:lpwstr>
      </vt:variant>
      <vt:variant>
        <vt:lpwstr/>
      </vt:variant>
      <vt:variant>
        <vt:i4>393218</vt:i4>
      </vt:variant>
      <vt:variant>
        <vt:i4>1451</vt:i4>
      </vt:variant>
      <vt:variant>
        <vt:i4>0</vt:i4>
      </vt:variant>
      <vt:variant>
        <vt:i4>5</vt:i4>
      </vt:variant>
      <vt:variant>
        <vt:lpwstr>https://mohgovtnz.sharepoint.com/sites/moh-ecm-FunAnaandIns/Shared Documents/Health and Independence Report/Health and Independence Report 2022/Report/www.healthdata.org/new-zealand</vt:lpwstr>
      </vt:variant>
      <vt:variant>
        <vt:lpwstr/>
      </vt:variant>
      <vt:variant>
        <vt:i4>851991</vt:i4>
      </vt:variant>
      <vt:variant>
        <vt:i4>1448</vt:i4>
      </vt:variant>
      <vt:variant>
        <vt:i4>0</vt:i4>
      </vt:variant>
      <vt:variant>
        <vt:i4>5</vt:i4>
      </vt:variant>
      <vt:variant>
        <vt:lpwstr>https://mohgovtnz.sharepoint.com/sites/moh-ecm-FunAnaandIns/Shared Documents/Health and Independence Report/Health and Independence Report 2022/Report/www.heartfoundation.org.nz/statistics</vt:lpwstr>
      </vt:variant>
      <vt:variant>
        <vt:lpwstr/>
      </vt:variant>
      <vt:variant>
        <vt:i4>1769537</vt:i4>
      </vt:variant>
      <vt:variant>
        <vt:i4>1445</vt:i4>
      </vt:variant>
      <vt:variant>
        <vt:i4>0</vt:i4>
      </vt:variant>
      <vt:variant>
        <vt:i4>5</vt:i4>
      </vt:variant>
      <vt:variant>
        <vt:lpwstr>https://mohgovtnz.sharepoint.com/sites/moh-ecm-FunAnaandIns/Shared Documents/Health and Independence Report/Health and Independence Report 2022/Report/www.healthnavigator.org.nz/clinicians/s/social-determinants-of-health</vt:lpwstr>
      </vt:variant>
      <vt:variant>
        <vt:lpwstr/>
      </vt:variant>
      <vt:variant>
        <vt:i4>852060</vt:i4>
      </vt:variant>
      <vt:variant>
        <vt:i4>1442</vt:i4>
      </vt:variant>
      <vt:variant>
        <vt:i4>0</vt:i4>
      </vt:variant>
      <vt:variant>
        <vt:i4>5</vt:i4>
      </vt:variant>
      <vt:variant>
        <vt:lpwstr>https://mohgovtnz.sharepoint.com/sites/moh-ecm-FunAnaandIns/Shared Documents/Health and Independence Report/Health and Independence Report 2022/Report/www.dpmc.govt.nz/sites/default/files/2021-04/htu-factsheet-primary-and-community-care-en-apr21.pdf</vt:lpwstr>
      </vt:variant>
      <vt:variant>
        <vt:lpwstr/>
      </vt:variant>
      <vt:variant>
        <vt:i4>131102</vt:i4>
      </vt:variant>
      <vt:variant>
        <vt:i4>1439</vt:i4>
      </vt:variant>
      <vt:variant>
        <vt:i4>0</vt:i4>
      </vt:variant>
      <vt:variant>
        <vt:i4>5</vt:i4>
      </vt:variant>
      <vt:variant>
        <vt:lpwstr>https://coronialservices.justice.govt.nz/assets/Media-release-Deputy-Chief-Coroner-251022.pdf</vt:lpwstr>
      </vt:variant>
      <vt:variant>
        <vt:lpwstr/>
      </vt:variant>
      <vt:variant>
        <vt:i4>8192050</vt:i4>
      </vt:variant>
      <vt:variant>
        <vt:i4>1436</vt:i4>
      </vt:variant>
      <vt:variant>
        <vt:i4>0</vt:i4>
      </vt:variant>
      <vt:variant>
        <vt:i4>5</vt:i4>
      </vt:variant>
      <vt:variant>
        <vt:lpwstr>https://mohgovtnz.sharepoint.com/sites/moh-ecm-FunAnaandIns/Shared Documents/Health and Independence Report/Health and Independence Report 2022/Report/www.health.govt.nz/system/files/documents/publications/cornwallanddavey.pdf</vt:lpwstr>
      </vt:variant>
      <vt:variant>
        <vt:lpwstr/>
      </vt:variant>
      <vt:variant>
        <vt:i4>5701698</vt:i4>
      </vt:variant>
      <vt:variant>
        <vt:i4>1433</vt:i4>
      </vt:variant>
      <vt:variant>
        <vt:i4>0</vt:i4>
      </vt:variant>
      <vt:variant>
        <vt:i4>5</vt:i4>
      </vt:variant>
      <vt:variant>
        <vt:lpwstr>https://mohgovtnz.sharepoint.com/sites/moh-ecm-FunAnaandIns/Shared Documents/Health and Independence Report/Health and Independence Report 2022/Report/www.otago.ac.nz/wellington/otago823833.pdf</vt:lpwstr>
      </vt:variant>
      <vt:variant>
        <vt:lpwstr/>
      </vt:variant>
      <vt:variant>
        <vt:i4>8192061</vt:i4>
      </vt:variant>
      <vt:variant>
        <vt:i4>1430</vt:i4>
      </vt:variant>
      <vt:variant>
        <vt:i4>0</vt:i4>
      </vt:variant>
      <vt:variant>
        <vt:i4>5</vt:i4>
      </vt:variant>
      <vt:variant>
        <vt:lpwstr>https://mohgovtnz.sharepoint.com/sites/moh-ecm-FunAnaandIns/Shared Documents/Health and Independence Report/Health and Independence Report 2022/Report/www.ash.org.nz/ash_year_10</vt:lpwstr>
      </vt:variant>
      <vt:variant>
        <vt:lpwstr/>
      </vt:variant>
      <vt:variant>
        <vt:i4>1572941</vt:i4>
      </vt:variant>
      <vt:variant>
        <vt:i4>1422</vt:i4>
      </vt:variant>
      <vt:variant>
        <vt:i4>0</vt:i4>
      </vt:variant>
      <vt:variant>
        <vt:i4>5</vt:i4>
      </vt:variant>
      <vt:variant>
        <vt:lpwstr>https://www.health.govt.nz/publication/response-stats-nz-recommendations-health-service-user-dataset</vt:lpwstr>
      </vt:variant>
      <vt:variant>
        <vt:lpwstr/>
      </vt:variant>
      <vt:variant>
        <vt:i4>4849732</vt:i4>
      </vt:variant>
      <vt:variant>
        <vt:i4>1419</vt:i4>
      </vt:variant>
      <vt:variant>
        <vt:i4>0</vt:i4>
      </vt:variant>
      <vt:variant>
        <vt:i4>5</vt:i4>
      </vt:variant>
      <vt:variant>
        <vt:lpwstr>https://minhealthnz.shinyapps.io/nz-health-survey-2021-22-annual-data-explorer/_w_ac635275/</vt:lpwstr>
      </vt:variant>
      <vt:variant>
        <vt:lpwstr>!/home</vt:lpwstr>
      </vt:variant>
      <vt:variant>
        <vt:i4>5767189</vt:i4>
      </vt:variant>
      <vt:variant>
        <vt:i4>1356</vt:i4>
      </vt:variant>
      <vt:variant>
        <vt:i4>0</vt:i4>
      </vt:variant>
      <vt:variant>
        <vt:i4>5</vt:i4>
      </vt:variant>
      <vt:variant>
        <vt:lpwstr>https://tewhatuora.shinyapps.io/covid19/</vt:lpwstr>
      </vt:variant>
      <vt:variant>
        <vt:lpwstr/>
      </vt:variant>
      <vt:variant>
        <vt:i4>5767189</vt:i4>
      </vt:variant>
      <vt:variant>
        <vt:i4>1350</vt:i4>
      </vt:variant>
      <vt:variant>
        <vt:i4>0</vt:i4>
      </vt:variant>
      <vt:variant>
        <vt:i4>5</vt:i4>
      </vt:variant>
      <vt:variant>
        <vt:lpwstr>https://tewhatuora.shinyapps.io/covid19/</vt:lpwstr>
      </vt:variant>
      <vt:variant>
        <vt:lpwstr/>
      </vt:variant>
      <vt:variant>
        <vt:i4>5767189</vt:i4>
      </vt:variant>
      <vt:variant>
        <vt:i4>1344</vt:i4>
      </vt:variant>
      <vt:variant>
        <vt:i4>0</vt:i4>
      </vt:variant>
      <vt:variant>
        <vt:i4>5</vt:i4>
      </vt:variant>
      <vt:variant>
        <vt:lpwstr>https://tewhatuora.shinyapps.io/covid19/</vt:lpwstr>
      </vt:variant>
      <vt:variant>
        <vt:lpwstr/>
      </vt:variant>
      <vt:variant>
        <vt:i4>5767189</vt:i4>
      </vt:variant>
      <vt:variant>
        <vt:i4>1329</vt:i4>
      </vt:variant>
      <vt:variant>
        <vt:i4>0</vt:i4>
      </vt:variant>
      <vt:variant>
        <vt:i4>5</vt:i4>
      </vt:variant>
      <vt:variant>
        <vt:lpwstr>https://tewhatuora.shinyapps.io/covid19/</vt:lpwstr>
      </vt:variant>
      <vt:variant>
        <vt:lpwstr/>
      </vt:variant>
      <vt:variant>
        <vt:i4>5767189</vt:i4>
      </vt:variant>
      <vt:variant>
        <vt:i4>1323</vt:i4>
      </vt:variant>
      <vt:variant>
        <vt:i4>0</vt:i4>
      </vt:variant>
      <vt:variant>
        <vt:i4>5</vt:i4>
      </vt:variant>
      <vt:variant>
        <vt:lpwstr>https://tewhatuora.shinyapps.io/covid19/</vt:lpwstr>
      </vt:variant>
      <vt:variant>
        <vt:lpwstr/>
      </vt:variant>
      <vt:variant>
        <vt:i4>5767189</vt:i4>
      </vt:variant>
      <vt:variant>
        <vt:i4>1317</vt:i4>
      </vt:variant>
      <vt:variant>
        <vt:i4>0</vt:i4>
      </vt:variant>
      <vt:variant>
        <vt:i4>5</vt:i4>
      </vt:variant>
      <vt:variant>
        <vt:lpwstr>https://tewhatuora.shinyapps.io/covid19/</vt:lpwstr>
      </vt:variant>
      <vt:variant>
        <vt:lpwstr/>
      </vt:variant>
      <vt:variant>
        <vt:i4>3801188</vt:i4>
      </vt:variant>
      <vt:variant>
        <vt:i4>1296</vt:i4>
      </vt:variant>
      <vt:variant>
        <vt:i4>0</vt:i4>
      </vt:variant>
      <vt:variant>
        <vt:i4>5</vt:i4>
      </vt:variant>
      <vt:variant>
        <vt:lpwstr>https://www.health.govt.nz/publication/covid-19-risk-among-disabled-people</vt:lpwstr>
      </vt:variant>
      <vt:variant>
        <vt:lpwstr/>
      </vt:variant>
      <vt:variant>
        <vt:i4>5767189</vt:i4>
      </vt:variant>
      <vt:variant>
        <vt:i4>1287</vt:i4>
      </vt:variant>
      <vt:variant>
        <vt:i4>0</vt:i4>
      </vt:variant>
      <vt:variant>
        <vt:i4>5</vt:i4>
      </vt:variant>
      <vt:variant>
        <vt:lpwstr>https://tewhatuora.shinyapps.io/covid19/</vt:lpwstr>
      </vt:variant>
      <vt:variant>
        <vt:lpwstr/>
      </vt:variant>
      <vt:variant>
        <vt:i4>7012386</vt:i4>
      </vt:variant>
      <vt:variant>
        <vt:i4>1269</vt:i4>
      </vt:variant>
      <vt:variant>
        <vt:i4>0</vt:i4>
      </vt:variant>
      <vt:variant>
        <vt:i4>5</vt:i4>
      </vt:variant>
      <vt:variant>
        <vt:lpwstr>https://www.health.govt.nz/publication/covid-19-mortality-aotearoa-new-zealand-inequities-risk</vt:lpwstr>
      </vt:variant>
      <vt:variant>
        <vt:lpwstr/>
      </vt:variant>
      <vt:variant>
        <vt:i4>5767189</vt:i4>
      </vt:variant>
      <vt:variant>
        <vt:i4>1266</vt:i4>
      </vt:variant>
      <vt:variant>
        <vt:i4>0</vt:i4>
      </vt:variant>
      <vt:variant>
        <vt:i4>5</vt:i4>
      </vt:variant>
      <vt:variant>
        <vt:lpwstr>https://tewhatuora.shinyapps.io/covid19/</vt:lpwstr>
      </vt:variant>
      <vt:variant>
        <vt:lpwstr/>
      </vt:variant>
      <vt:variant>
        <vt:i4>5767189</vt:i4>
      </vt:variant>
      <vt:variant>
        <vt:i4>1254</vt:i4>
      </vt:variant>
      <vt:variant>
        <vt:i4>0</vt:i4>
      </vt:variant>
      <vt:variant>
        <vt:i4>5</vt:i4>
      </vt:variant>
      <vt:variant>
        <vt:lpwstr>https://tewhatuora.shinyapps.io/covid19/</vt:lpwstr>
      </vt:variant>
      <vt:variant>
        <vt:lpwstr/>
      </vt:variant>
      <vt:variant>
        <vt:i4>786456</vt:i4>
      </vt:variant>
      <vt:variant>
        <vt:i4>1233</vt:i4>
      </vt:variant>
      <vt:variant>
        <vt:i4>0</vt:i4>
      </vt:variant>
      <vt:variant>
        <vt:i4>5</vt:i4>
      </vt:variant>
      <vt:variant>
        <vt:lpwstr>https://covid19.govt.nz/about-our-covid-19-response/history-of-the-covid-19-protection-framework-traffic-lights/</vt:lpwstr>
      </vt:variant>
      <vt:variant>
        <vt:lpwstr/>
      </vt:variant>
      <vt:variant>
        <vt:i4>3014781</vt:i4>
      </vt:variant>
      <vt:variant>
        <vt:i4>1182</vt:i4>
      </vt:variant>
      <vt:variant>
        <vt:i4>0</vt:i4>
      </vt:variant>
      <vt:variant>
        <vt:i4>5</vt:i4>
      </vt:variant>
      <vt:variant>
        <vt:lpwstr>https://reports.hqsc.govt.nz/AHI-explorer/</vt:lpwstr>
      </vt:variant>
      <vt:variant>
        <vt:lpwstr/>
      </vt:variant>
      <vt:variant>
        <vt:i4>7340077</vt:i4>
      </vt:variant>
      <vt:variant>
        <vt:i4>1161</vt:i4>
      </vt:variant>
      <vt:variant>
        <vt:i4>0</vt:i4>
      </vt:variant>
      <vt:variant>
        <vt:i4>5</vt:i4>
      </vt:variant>
      <vt:variant>
        <vt:lpwstr>https://nsfl.health.govt.nz/accountability/performance-and-monitoring/data-quarterly-reports-and-reporting/ambulatory-sensitive</vt:lpwstr>
      </vt:variant>
      <vt:variant>
        <vt:lpwstr/>
      </vt:variant>
      <vt:variant>
        <vt:i4>7340077</vt:i4>
      </vt:variant>
      <vt:variant>
        <vt:i4>1149</vt:i4>
      </vt:variant>
      <vt:variant>
        <vt:i4>0</vt:i4>
      </vt:variant>
      <vt:variant>
        <vt:i4>5</vt:i4>
      </vt:variant>
      <vt:variant>
        <vt:lpwstr>https://nsfl.health.govt.nz/accountability/performance-and-monitoring/data-quarterly-reports-and-reporting/ambulatory-sensitive</vt:lpwstr>
      </vt:variant>
      <vt:variant>
        <vt:lpwstr/>
      </vt:variant>
      <vt:variant>
        <vt:i4>2228344</vt:i4>
      </vt:variant>
      <vt:variant>
        <vt:i4>1113</vt:i4>
      </vt:variant>
      <vt:variant>
        <vt:i4>0</vt:i4>
      </vt:variant>
      <vt:variant>
        <vt:i4>5</vt:i4>
      </vt:variant>
      <vt:variant>
        <vt:lpwstr>https://tewhatuora.shinyapps.io/nsu-ncsp-coverage/</vt:lpwstr>
      </vt:variant>
      <vt:variant>
        <vt:lpwstr/>
      </vt:variant>
      <vt:variant>
        <vt:i4>5111877</vt:i4>
      </vt:variant>
      <vt:variant>
        <vt:i4>1098</vt:i4>
      </vt:variant>
      <vt:variant>
        <vt:i4>0</vt:i4>
      </vt:variant>
      <vt:variant>
        <vt:i4>5</vt:i4>
      </vt:variant>
      <vt:variant>
        <vt:lpwstr>https://tewhatuora.shinyapps.io/nsu-bsa-coverage/</vt:lpwstr>
      </vt:variant>
      <vt:variant>
        <vt:lpwstr/>
      </vt:variant>
      <vt:variant>
        <vt:i4>1114185</vt:i4>
      </vt:variant>
      <vt:variant>
        <vt:i4>1080</vt:i4>
      </vt:variant>
      <vt:variant>
        <vt:i4>0</vt:i4>
      </vt:variant>
      <vt:variant>
        <vt:i4>5</vt:i4>
      </vt:variant>
      <vt:variant>
        <vt:lpwstr>https://www.health.govt.nz/our-work/preventative-health-wellness/immunisation/hpv-immunisation-programme</vt:lpwstr>
      </vt:variant>
      <vt:variant>
        <vt:lpwstr/>
      </vt:variant>
      <vt:variant>
        <vt:i4>3670138</vt:i4>
      </vt:variant>
      <vt:variant>
        <vt:i4>1062</vt:i4>
      </vt:variant>
      <vt:variant>
        <vt:i4>0</vt:i4>
      </vt:variant>
      <vt:variant>
        <vt:i4>5</vt:i4>
      </vt:variant>
      <vt:variant>
        <vt:lpwstr>https://www.health.govt.nz/our-work/preventative-health-wellness/immunisation/immunisation-coverage/national-and-regional-immunisation-data</vt:lpwstr>
      </vt:variant>
      <vt:variant>
        <vt:lpwstr/>
      </vt:variant>
      <vt:variant>
        <vt:i4>3670138</vt:i4>
      </vt:variant>
      <vt:variant>
        <vt:i4>1053</vt:i4>
      </vt:variant>
      <vt:variant>
        <vt:i4>0</vt:i4>
      </vt:variant>
      <vt:variant>
        <vt:i4>5</vt:i4>
      </vt:variant>
      <vt:variant>
        <vt:lpwstr>https://www.health.govt.nz/our-work/preventative-health-wellness/immunisation/immunisation-coverage/national-and-regional-immunisation-data</vt:lpwstr>
      </vt:variant>
      <vt:variant>
        <vt:lpwstr/>
      </vt:variant>
      <vt:variant>
        <vt:i4>3670138</vt:i4>
      </vt:variant>
      <vt:variant>
        <vt:i4>1041</vt:i4>
      </vt:variant>
      <vt:variant>
        <vt:i4>0</vt:i4>
      </vt:variant>
      <vt:variant>
        <vt:i4>5</vt:i4>
      </vt:variant>
      <vt:variant>
        <vt:lpwstr>https://www.health.govt.nz/our-work/preventative-health-wellness/immunisation/immunisation-coverage/national-and-regional-immunisation-data</vt:lpwstr>
      </vt:variant>
      <vt:variant>
        <vt:lpwstr/>
      </vt:variant>
      <vt:variant>
        <vt:i4>3342369</vt:i4>
      </vt:variant>
      <vt:variant>
        <vt:i4>1023</vt:i4>
      </vt:variant>
      <vt:variant>
        <vt:i4>0</vt:i4>
      </vt:variant>
      <vt:variant>
        <vt:i4>5</vt:i4>
      </vt:variant>
      <vt:variant>
        <vt:lpwstr>https://www.healthed.govt.nz/resource/national-immunisation-schedule-0</vt:lpwstr>
      </vt:variant>
      <vt:variant>
        <vt:lpwstr/>
      </vt:variant>
      <vt:variant>
        <vt:i4>5308428</vt:i4>
      </vt:variant>
      <vt:variant>
        <vt:i4>1017</vt:i4>
      </vt:variant>
      <vt:variant>
        <vt:i4>0</vt:i4>
      </vt:variant>
      <vt:variant>
        <vt:i4>5</vt:i4>
      </vt:variant>
      <vt:variant>
        <vt:lpwstr>https://www.stats.govt.nz/information-releases/wellbeing-statistics-2021/</vt:lpwstr>
      </vt:variant>
      <vt:variant>
        <vt:lpwstr/>
      </vt:variant>
      <vt:variant>
        <vt:i4>4259862</vt:i4>
      </vt:variant>
      <vt:variant>
        <vt:i4>999</vt:i4>
      </vt:variant>
      <vt:variant>
        <vt:i4>0</vt:i4>
      </vt:variant>
      <vt:variant>
        <vt:i4>5</vt:i4>
      </vt:variant>
      <vt:variant>
        <vt:lpwstr>https://minhealthnz.shinyapps.io/nz-health-survey-2021-22-annual-data-explorer/_w_6c1c393e/</vt:lpwstr>
      </vt:variant>
      <vt:variant>
        <vt:lpwstr>!/home</vt:lpwstr>
      </vt:variant>
      <vt:variant>
        <vt:i4>4259862</vt:i4>
      </vt:variant>
      <vt:variant>
        <vt:i4>948</vt:i4>
      </vt:variant>
      <vt:variant>
        <vt:i4>0</vt:i4>
      </vt:variant>
      <vt:variant>
        <vt:i4>5</vt:i4>
      </vt:variant>
      <vt:variant>
        <vt:lpwstr>https://minhealthnz.shinyapps.io/nz-health-survey-2021-22-annual-data-explorer/_w_6c1c393e/</vt:lpwstr>
      </vt:variant>
      <vt:variant>
        <vt:lpwstr>!/home</vt:lpwstr>
      </vt:variant>
      <vt:variant>
        <vt:i4>4259862</vt:i4>
      </vt:variant>
      <vt:variant>
        <vt:i4>933</vt:i4>
      </vt:variant>
      <vt:variant>
        <vt:i4>0</vt:i4>
      </vt:variant>
      <vt:variant>
        <vt:i4>5</vt:i4>
      </vt:variant>
      <vt:variant>
        <vt:lpwstr>https://minhealthnz.shinyapps.io/nz-health-survey-2021-22-annual-data-explorer/_w_6c1c393e/</vt:lpwstr>
      </vt:variant>
      <vt:variant>
        <vt:lpwstr>!/home</vt:lpwstr>
      </vt:variant>
      <vt:variant>
        <vt:i4>4259862</vt:i4>
      </vt:variant>
      <vt:variant>
        <vt:i4>900</vt:i4>
      </vt:variant>
      <vt:variant>
        <vt:i4>0</vt:i4>
      </vt:variant>
      <vt:variant>
        <vt:i4>5</vt:i4>
      </vt:variant>
      <vt:variant>
        <vt:lpwstr>https://minhealthnz.shinyapps.io/nz-health-survey-2021-22-annual-data-explorer/_w_6c1c393e/</vt:lpwstr>
      </vt:variant>
      <vt:variant>
        <vt:lpwstr>!/home</vt:lpwstr>
      </vt:variant>
      <vt:variant>
        <vt:i4>4259862</vt:i4>
      </vt:variant>
      <vt:variant>
        <vt:i4>891</vt:i4>
      </vt:variant>
      <vt:variant>
        <vt:i4>0</vt:i4>
      </vt:variant>
      <vt:variant>
        <vt:i4>5</vt:i4>
      </vt:variant>
      <vt:variant>
        <vt:lpwstr>https://minhealthnz.shinyapps.io/nz-health-survey-2021-22-annual-data-explorer/_w_6c1c393e/</vt:lpwstr>
      </vt:variant>
      <vt:variant>
        <vt:lpwstr>!/home</vt:lpwstr>
      </vt:variant>
      <vt:variant>
        <vt:i4>3211297</vt:i4>
      </vt:variant>
      <vt:variant>
        <vt:i4>876</vt:i4>
      </vt:variant>
      <vt:variant>
        <vt:i4>0</vt:i4>
      </vt:variant>
      <vt:variant>
        <vt:i4>5</vt:i4>
      </vt:variant>
      <vt:variant>
        <vt:lpwstr>https://www.health.govt.nz/publication/smokefree-aotearoa-2025-action-plan-auahi-kore-aotearoa-mahere-rautaki-2025</vt:lpwstr>
      </vt:variant>
      <vt:variant>
        <vt:lpwstr/>
      </vt:variant>
      <vt:variant>
        <vt:i4>3670119</vt:i4>
      </vt:variant>
      <vt:variant>
        <vt:i4>840</vt:i4>
      </vt:variant>
      <vt:variant>
        <vt:i4>0</vt:i4>
      </vt:variant>
      <vt:variant>
        <vt:i4>5</vt:i4>
      </vt:variant>
      <vt:variant>
        <vt:lpwstr>https://www.stats.govt.nz/news/child-poverty-statistics-show-no-annual-change-in-the-year-ended-june-2022/</vt:lpwstr>
      </vt:variant>
      <vt:variant>
        <vt:lpwstr/>
      </vt:variant>
      <vt:variant>
        <vt:i4>5505093</vt:i4>
      </vt:variant>
      <vt:variant>
        <vt:i4>822</vt:i4>
      </vt:variant>
      <vt:variant>
        <vt:i4>0</vt:i4>
      </vt:variant>
      <vt:variant>
        <vt:i4>5</vt:i4>
      </vt:variant>
      <vt:variant>
        <vt:lpwstr>https://tewhatuora.shinyapps.io/suicide-web-tool/</vt:lpwstr>
      </vt:variant>
      <vt:variant>
        <vt:lpwstr/>
      </vt:variant>
      <vt:variant>
        <vt:i4>4259862</vt:i4>
      </vt:variant>
      <vt:variant>
        <vt:i4>801</vt:i4>
      </vt:variant>
      <vt:variant>
        <vt:i4>0</vt:i4>
      </vt:variant>
      <vt:variant>
        <vt:i4>5</vt:i4>
      </vt:variant>
      <vt:variant>
        <vt:lpwstr>https://minhealthnz.shinyapps.io/nz-health-survey-2021-22-annual-data-explorer/_w_6c1c393e/</vt:lpwstr>
      </vt:variant>
      <vt:variant>
        <vt:lpwstr>!/home</vt:lpwstr>
      </vt:variant>
      <vt:variant>
        <vt:i4>4259862</vt:i4>
      </vt:variant>
      <vt:variant>
        <vt:i4>789</vt:i4>
      </vt:variant>
      <vt:variant>
        <vt:i4>0</vt:i4>
      </vt:variant>
      <vt:variant>
        <vt:i4>5</vt:i4>
      </vt:variant>
      <vt:variant>
        <vt:lpwstr>https://minhealthnz.shinyapps.io/nz-health-survey-2021-22-annual-data-explorer/_w_6c1c393e/</vt:lpwstr>
      </vt:variant>
      <vt:variant>
        <vt:lpwstr>!/home</vt:lpwstr>
      </vt:variant>
      <vt:variant>
        <vt:i4>4259862</vt:i4>
      </vt:variant>
      <vt:variant>
        <vt:i4>780</vt:i4>
      </vt:variant>
      <vt:variant>
        <vt:i4>0</vt:i4>
      </vt:variant>
      <vt:variant>
        <vt:i4>5</vt:i4>
      </vt:variant>
      <vt:variant>
        <vt:lpwstr>https://minhealthnz.shinyapps.io/nz-health-survey-2021-22-annual-data-explorer/_w_6c1c393e/</vt:lpwstr>
      </vt:variant>
      <vt:variant>
        <vt:lpwstr>!/home</vt:lpwstr>
      </vt:variant>
      <vt:variant>
        <vt:i4>4259862</vt:i4>
      </vt:variant>
      <vt:variant>
        <vt:i4>771</vt:i4>
      </vt:variant>
      <vt:variant>
        <vt:i4>0</vt:i4>
      </vt:variant>
      <vt:variant>
        <vt:i4>5</vt:i4>
      </vt:variant>
      <vt:variant>
        <vt:lpwstr>https://minhealthnz.shinyapps.io/nz-health-survey-2021-22-annual-data-explorer/_w_6c1c393e/</vt:lpwstr>
      </vt:variant>
      <vt:variant>
        <vt:lpwstr>!/home</vt:lpwstr>
      </vt:variant>
      <vt:variant>
        <vt:i4>655445</vt:i4>
      </vt:variant>
      <vt:variant>
        <vt:i4>756</vt:i4>
      </vt:variant>
      <vt:variant>
        <vt:i4>0</vt:i4>
      </vt:variant>
      <vt:variant>
        <vt:i4>5</vt:i4>
      </vt:variant>
      <vt:variant>
        <vt:lpwstr>https://www.stats.govt.nz/information-releases/lgbt-plus-population-of-aotearoa-year-ended-june-2021</vt:lpwstr>
      </vt:variant>
      <vt:variant>
        <vt:lpwstr/>
      </vt:variant>
      <vt:variant>
        <vt:i4>4259862</vt:i4>
      </vt:variant>
      <vt:variant>
        <vt:i4>747</vt:i4>
      </vt:variant>
      <vt:variant>
        <vt:i4>0</vt:i4>
      </vt:variant>
      <vt:variant>
        <vt:i4>5</vt:i4>
      </vt:variant>
      <vt:variant>
        <vt:lpwstr>https://minhealthnz.shinyapps.io/nz-health-survey-2021-22-annual-data-explorer/_w_6c1c393e/</vt:lpwstr>
      </vt:variant>
      <vt:variant>
        <vt:lpwstr>!/home</vt:lpwstr>
      </vt:variant>
      <vt:variant>
        <vt:i4>4259862</vt:i4>
      </vt:variant>
      <vt:variant>
        <vt:i4>714</vt:i4>
      </vt:variant>
      <vt:variant>
        <vt:i4>0</vt:i4>
      </vt:variant>
      <vt:variant>
        <vt:i4>5</vt:i4>
      </vt:variant>
      <vt:variant>
        <vt:lpwstr>https://minhealthnz.shinyapps.io/nz-health-survey-2021-22-annual-data-explorer/_w_6c1c393e/</vt:lpwstr>
      </vt:variant>
      <vt:variant>
        <vt:lpwstr>!/home</vt:lpwstr>
      </vt:variant>
      <vt:variant>
        <vt:i4>2752625</vt:i4>
      </vt:variant>
      <vt:variant>
        <vt:i4>702</vt:i4>
      </vt:variant>
      <vt:variant>
        <vt:i4>0</vt:i4>
      </vt:variant>
      <vt:variant>
        <vt:i4>5</vt:i4>
      </vt:variant>
      <vt:variant>
        <vt:lpwstr>https://www.health.govt.nz/nz-health-statistics/health-statistics-and-data-sets/oral-health-data-and-stats/age-5-and-year-8-oral-health-data-community-oral-health-service</vt:lpwstr>
      </vt:variant>
      <vt:variant>
        <vt:lpwstr/>
      </vt:variant>
      <vt:variant>
        <vt:i4>2752625</vt:i4>
      </vt:variant>
      <vt:variant>
        <vt:i4>690</vt:i4>
      </vt:variant>
      <vt:variant>
        <vt:i4>0</vt:i4>
      </vt:variant>
      <vt:variant>
        <vt:i4>5</vt:i4>
      </vt:variant>
      <vt:variant>
        <vt:lpwstr>https://www.health.govt.nz/nz-health-statistics/health-statistics-and-data-sets/oral-health-data-and-stats/age-5-and-year-8-oral-health-data-community-oral-health-service</vt:lpwstr>
      </vt:variant>
      <vt:variant>
        <vt:lpwstr/>
      </vt:variant>
      <vt:variant>
        <vt:i4>7864428</vt:i4>
      </vt:variant>
      <vt:variant>
        <vt:i4>672</vt:i4>
      </vt:variant>
      <vt:variant>
        <vt:i4>0</vt:i4>
      </vt:variant>
      <vt:variant>
        <vt:i4>5</vt:i4>
      </vt:variant>
      <vt:variant>
        <vt:lpwstr>https://tewhatuora.shinyapps.io/virtual-diabetes-register-web-tool/</vt:lpwstr>
      </vt:variant>
      <vt:variant>
        <vt:lpwstr/>
      </vt:variant>
      <vt:variant>
        <vt:i4>2424893</vt:i4>
      </vt:variant>
      <vt:variant>
        <vt:i4>627</vt:i4>
      </vt:variant>
      <vt:variant>
        <vt:i4>0</vt:i4>
      </vt:variant>
      <vt:variant>
        <vt:i4>5</vt:i4>
      </vt:variant>
      <vt:variant>
        <vt:lpwstr>https://tewhatuora.shinyapps.io/mortality-web-tool/</vt:lpwstr>
      </vt:variant>
      <vt:variant>
        <vt:lpwstr/>
      </vt:variant>
      <vt:variant>
        <vt:i4>1114195</vt:i4>
      </vt:variant>
      <vt:variant>
        <vt:i4>612</vt:i4>
      </vt:variant>
      <vt:variant>
        <vt:i4>0</vt:i4>
      </vt:variant>
      <vt:variant>
        <vt:i4>5</vt:i4>
      </vt:variant>
      <vt:variant>
        <vt:lpwstr>https://tewhatuora.shinyapps.io/cancer-web-tool/</vt:lpwstr>
      </vt:variant>
      <vt:variant>
        <vt:lpwstr/>
      </vt:variant>
      <vt:variant>
        <vt:i4>6815843</vt:i4>
      </vt:variant>
      <vt:variant>
        <vt:i4>579</vt:i4>
      </vt:variant>
      <vt:variant>
        <vt:i4>0</vt:i4>
      </vt:variant>
      <vt:variant>
        <vt:i4>5</vt:i4>
      </vt:variant>
      <vt:variant>
        <vt:lpwstr>https://vizhub.healthdata.org/gbd-results/</vt:lpwstr>
      </vt:variant>
      <vt:variant>
        <vt:lpwstr/>
      </vt:variant>
      <vt:variant>
        <vt:i4>2949244</vt:i4>
      </vt:variant>
      <vt:variant>
        <vt:i4>555</vt:i4>
      </vt:variant>
      <vt:variant>
        <vt:i4>0</vt:i4>
      </vt:variant>
      <vt:variant>
        <vt:i4>5</vt:i4>
      </vt:variant>
      <vt:variant>
        <vt:lpwstr>https://ghdx.healthdata.org/record/ihme-data/gbd-2019-life-tables-1950-2019</vt:lpwstr>
      </vt:variant>
      <vt:variant>
        <vt:lpwstr/>
      </vt:variant>
      <vt:variant>
        <vt:i4>6815843</vt:i4>
      </vt:variant>
      <vt:variant>
        <vt:i4>552</vt:i4>
      </vt:variant>
      <vt:variant>
        <vt:i4>0</vt:i4>
      </vt:variant>
      <vt:variant>
        <vt:i4>5</vt:i4>
      </vt:variant>
      <vt:variant>
        <vt:lpwstr>https://vizhub.healthdata.org/gbd-results/</vt:lpwstr>
      </vt:variant>
      <vt:variant>
        <vt:lpwstr/>
      </vt:variant>
      <vt:variant>
        <vt:i4>5898246</vt:i4>
      </vt:variant>
      <vt:variant>
        <vt:i4>546</vt:i4>
      </vt:variant>
      <vt:variant>
        <vt:i4>0</vt:i4>
      </vt:variant>
      <vt:variant>
        <vt:i4>5</vt:i4>
      </vt:variant>
      <vt:variant>
        <vt:lpwstr>https://tewhatuora.shinyapps.io/fetal-and-infant-deaths-web-tool/</vt:lpwstr>
      </vt:variant>
      <vt:variant>
        <vt:lpwstr/>
      </vt:variant>
      <vt:variant>
        <vt:i4>5898246</vt:i4>
      </vt:variant>
      <vt:variant>
        <vt:i4>525</vt:i4>
      </vt:variant>
      <vt:variant>
        <vt:i4>0</vt:i4>
      </vt:variant>
      <vt:variant>
        <vt:i4>5</vt:i4>
      </vt:variant>
      <vt:variant>
        <vt:lpwstr>https://tewhatuora.shinyapps.io/fetal-and-infant-deaths-web-tool/</vt:lpwstr>
      </vt:variant>
      <vt:variant>
        <vt:lpwstr/>
      </vt:variant>
      <vt:variant>
        <vt:i4>2424893</vt:i4>
      </vt:variant>
      <vt:variant>
        <vt:i4>522</vt:i4>
      </vt:variant>
      <vt:variant>
        <vt:i4>0</vt:i4>
      </vt:variant>
      <vt:variant>
        <vt:i4>5</vt:i4>
      </vt:variant>
      <vt:variant>
        <vt:lpwstr>https://tewhatuora.shinyapps.io/mortality-web-tool/</vt:lpwstr>
      </vt:variant>
      <vt:variant>
        <vt:lpwstr/>
      </vt:variant>
      <vt:variant>
        <vt:i4>2424893</vt:i4>
      </vt:variant>
      <vt:variant>
        <vt:i4>510</vt:i4>
      </vt:variant>
      <vt:variant>
        <vt:i4>0</vt:i4>
      </vt:variant>
      <vt:variant>
        <vt:i4>5</vt:i4>
      </vt:variant>
      <vt:variant>
        <vt:lpwstr>https://tewhatuora.shinyapps.io/mortality-web-tool/</vt:lpwstr>
      </vt:variant>
      <vt:variant>
        <vt:lpwstr/>
      </vt:variant>
      <vt:variant>
        <vt:i4>2293863</vt:i4>
      </vt:variant>
      <vt:variant>
        <vt:i4>507</vt:i4>
      </vt:variant>
      <vt:variant>
        <vt:i4>0</vt:i4>
      </vt:variant>
      <vt:variant>
        <vt:i4>5</vt:i4>
      </vt:variant>
      <vt:variant>
        <vt:lpwstr>http://www.stats.govt.nz/information-releases/national-and-subnational-period-life-tables-2017-2019</vt:lpwstr>
      </vt:variant>
      <vt:variant>
        <vt:lpwstr/>
      </vt:variant>
      <vt:variant>
        <vt:i4>2293863</vt:i4>
      </vt:variant>
      <vt:variant>
        <vt:i4>492</vt:i4>
      </vt:variant>
      <vt:variant>
        <vt:i4>0</vt:i4>
      </vt:variant>
      <vt:variant>
        <vt:i4>5</vt:i4>
      </vt:variant>
      <vt:variant>
        <vt:lpwstr>http://www.stats.govt.nz/information-releases/national-and-subnational-period-life-tables-2017-2019</vt:lpwstr>
      </vt:variant>
      <vt:variant>
        <vt:lpwstr/>
      </vt:variant>
      <vt:variant>
        <vt:i4>6357050</vt:i4>
      </vt:variant>
      <vt:variant>
        <vt:i4>372</vt:i4>
      </vt:variant>
      <vt:variant>
        <vt:i4>0</vt:i4>
      </vt:variant>
      <vt:variant>
        <vt:i4>5</vt:i4>
      </vt:variant>
      <vt:variant>
        <vt:lpwstr>https://www.stats.govt.nz/news/one-in-three-children-projected-to-be-maori/</vt:lpwstr>
      </vt:variant>
      <vt:variant>
        <vt:lpwstr/>
      </vt:variant>
      <vt:variant>
        <vt:i4>3014719</vt:i4>
      </vt:variant>
      <vt:variant>
        <vt:i4>357</vt:i4>
      </vt:variant>
      <vt:variant>
        <vt:i4>0</vt:i4>
      </vt:variant>
      <vt:variant>
        <vt:i4>5</vt:i4>
      </vt:variant>
      <vt:variant>
        <vt:lpwstr>https://www.stats.govt.nz/information-releases/births-and-deaths-year-ended-december-2022-including-abridged-period-life-table/</vt:lpwstr>
      </vt:variant>
      <vt:variant>
        <vt:lpwstr/>
      </vt:variant>
      <vt:variant>
        <vt:i4>4587546</vt:i4>
      </vt:variant>
      <vt:variant>
        <vt:i4>339</vt:i4>
      </vt:variant>
      <vt:variant>
        <vt:i4>0</vt:i4>
      </vt:variant>
      <vt:variant>
        <vt:i4>5</vt:i4>
      </vt:variant>
      <vt:variant>
        <vt:lpwstr>https://infoshare.stats.govt.nz/ViewTable.aspx?pxID=9b05b41d-e720-49fd-b1ae-9b3056e8a74a</vt:lpwstr>
      </vt:variant>
      <vt:variant>
        <vt:lpwstr/>
      </vt:variant>
      <vt:variant>
        <vt:i4>4259862</vt:i4>
      </vt:variant>
      <vt:variant>
        <vt:i4>324</vt:i4>
      </vt:variant>
      <vt:variant>
        <vt:i4>0</vt:i4>
      </vt:variant>
      <vt:variant>
        <vt:i4>5</vt:i4>
      </vt:variant>
      <vt:variant>
        <vt:lpwstr>https://minhealthnz.shinyapps.io/nz-health-survey-2021-22-annual-data-explorer/_w_6c1c393e/</vt:lpwstr>
      </vt:variant>
      <vt:variant>
        <vt:lpwstr>!/home</vt:lpwstr>
      </vt:variant>
      <vt:variant>
        <vt:i4>3670119</vt:i4>
      </vt:variant>
      <vt:variant>
        <vt:i4>321</vt:i4>
      </vt:variant>
      <vt:variant>
        <vt:i4>0</vt:i4>
      </vt:variant>
      <vt:variant>
        <vt:i4>5</vt:i4>
      </vt:variant>
      <vt:variant>
        <vt:lpwstr>https://www.stats.govt.nz/news/child-poverty-statistics-show-no-annual-change-in-the-year-ended-june-2022/</vt:lpwstr>
      </vt:variant>
      <vt:variant>
        <vt:lpwstr/>
      </vt:variant>
      <vt:variant>
        <vt:i4>2293863</vt:i4>
      </vt:variant>
      <vt:variant>
        <vt:i4>318</vt:i4>
      </vt:variant>
      <vt:variant>
        <vt:i4>0</vt:i4>
      </vt:variant>
      <vt:variant>
        <vt:i4>5</vt:i4>
      </vt:variant>
      <vt:variant>
        <vt:lpwstr>http://www.stats.govt.nz/information-releases/national-and-subnational-period-life-tables-2017-2019</vt:lpwstr>
      </vt:variant>
      <vt:variant>
        <vt:lpwstr/>
      </vt:variant>
      <vt:variant>
        <vt:i4>4915223</vt:i4>
      </vt:variant>
      <vt:variant>
        <vt:i4>0</vt:i4>
      </vt:variant>
      <vt:variant>
        <vt:i4>0</vt:i4>
      </vt:variant>
      <vt:variant>
        <vt:i4>5</vt:i4>
      </vt:variant>
      <vt:variant>
        <vt:lpwstr>https://storymaps.arcgis.com/stories/da035e374dbb4ea0ae3b31b6777924ad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2022</dc:title>
  <dc:subject/>
  <dc:creator>Ministry of Health</dc:creator>
  <cp:keywords/>
  <cp:lastModifiedBy>Ministry of Health</cp:lastModifiedBy>
  <cp:revision>9</cp:revision>
  <cp:lastPrinted>2023-06-30T03:48:00Z</cp:lastPrinted>
  <dcterms:created xsi:type="dcterms:W3CDTF">2023-06-30T03:04:00Z</dcterms:created>
  <dcterms:modified xsi:type="dcterms:W3CDTF">2023-06-30T03:48:00Z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813181bb-a664-438a-8a9c-ebf7e6e6b200</vt:lpwstr>
  </property>
  <property fmtid="{D5CDD505-2E9C-101B-9397-08002B2CF9AE}" pid="4" name="MediaServiceImageTags">
    <vt:lpwstr/>
  </property>
</Properties>
</file>